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黑体" w:hAnsi="黑体" w:eastAsia="黑体" w:cs="黑体"/>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黑体" w:hAnsi="黑体" w:eastAsia="黑体" w:cs="黑体"/>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黑体" w:hAnsi="黑体" w:eastAsia="黑体" w:cs="黑体"/>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黑体" w:hAnsi="黑体" w:eastAsia="黑体" w:cs="黑体"/>
          <w:i w:val="0"/>
          <w:iCs w:val="0"/>
          <w:caps w:val="0"/>
          <w:color w:val="000000"/>
          <w:spacing w:val="0"/>
          <w:sz w:val="48"/>
          <w:szCs w:val="48"/>
          <w:lang w:val="en-US" w:eastAsia="zh-CN"/>
        </w:rPr>
      </w:pPr>
    </w:p>
    <w:p>
      <w:pPr>
        <w:spacing w:line="600" w:lineRule="exact"/>
        <w:jc w:val="center"/>
        <w:rPr>
          <w:rFonts w:hint="eastAsia" w:asciiTheme="majorEastAsia" w:hAnsiTheme="majorEastAsia" w:eastAsiaTheme="majorEastAsia"/>
          <w:b/>
          <w:sz w:val="44"/>
          <w:szCs w:val="44"/>
          <w:lang w:val="en-US" w:eastAsia="zh-CN"/>
        </w:rPr>
      </w:pPr>
      <w:r>
        <w:rPr>
          <w:rFonts w:hint="eastAsia" w:asciiTheme="majorEastAsia" w:hAnsiTheme="majorEastAsia" w:eastAsiaTheme="majorEastAsia"/>
          <w:b/>
          <w:sz w:val="44"/>
          <w:szCs w:val="44"/>
          <w:lang w:val="en-US" w:eastAsia="zh-CN"/>
        </w:rPr>
        <w:t>2024年驻马店市供销合作社部门预算公开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黑体" w:hAnsi="黑体" w:eastAsia="黑体" w:cs="黑体"/>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i w:val="0"/>
          <w:iCs w:val="0"/>
          <w:caps w:val="0"/>
          <w:color w:val="000000"/>
          <w:spacing w:val="0"/>
          <w:sz w:val="48"/>
          <w:szCs w:val="4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21"/>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仿宋" w:hAnsi="仿宋" w:eastAsia="仿宋" w:cs="仿宋"/>
          <w:i w:val="0"/>
          <w:iCs w:val="0"/>
          <w:caps w:val="0"/>
          <w:color w:val="000000"/>
          <w:spacing w:val="0"/>
          <w:sz w:val="32"/>
          <w:szCs w:val="32"/>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right="0" w:firstLine="3080" w:firstLineChars="700"/>
        <w:jc w:val="both"/>
        <w:rPr>
          <w:rFonts w:hint="eastAsia" w:ascii="黑体" w:hAnsi="黑体" w:eastAsia="黑体" w:cs="黑体"/>
          <w:i w:val="0"/>
          <w:iCs w:val="0"/>
          <w:caps w:val="0"/>
          <w:color w:val="000000"/>
          <w:spacing w:val="0"/>
          <w:sz w:val="44"/>
          <w:szCs w:val="44"/>
          <w:lang w:val="en-US" w:eastAsia="zh-CN"/>
        </w:rPr>
      </w:pPr>
      <w:r>
        <w:rPr>
          <w:rFonts w:hint="eastAsia" w:ascii="黑体" w:hAnsi="黑体" w:eastAsia="黑体" w:cs="黑体"/>
          <w:i w:val="0"/>
          <w:iCs w:val="0"/>
          <w:caps w:val="0"/>
          <w:color w:val="000000"/>
          <w:spacing w:val="0"/>
          <w:sz w:val="44"/>
          <w:szCs w:val="44"/>
          <w:lang w:val="en-US" w:eastAsia="zh-CN"/>
        </w:rPr>
        <w:t>2024年3月</w:t>
      </w:r>
    </w:p>
    <w:p>
      <w:pPr>
        <w:rPr>
          <w:b/>
          <w:bCs/>
        </w:rPr>
      </w:pPr>
    </w:p>
    <w:p>
      <w:pPr>
        <w:rPr>
          <w:b/>
          <w:bCs/>
        </w:rPr>
      </w:pPr>
    </w:p>
    <w:p>
      <w:pPr>
        <w:rPr>
          <w:b/>
          <w:bCs/>
        </w:rPr>
      </w:pPr>
    </w:p>
    <w:p>
      <w:pPr>
        <w:spacing w:line="600" w:lineRule="exact"/>
        <w:jc w:val="center"/>
        <w:rPr>
          <w:rFonts w:asciiTheme="majorEastAsia" w:hAnsiTheme="majorEastAsia" w:eastAsiaTheme="majorEastAsia"/>
          <w:b/>
          <w:sz w:val="44"/>
          <w:szCs w:val="44"/>
        </w:rPr>
      </w:pPr>
    </w:p>
    <w:p>
      <w:pPr>
        <w:spacing w:line="600" w:lineRule="exact"/>
        <w:jc w:val="center"/>
        <w:rPr>
          <w:rFonts w:hint="eastAsia" w:asciiTheme="majorEastAsia" w:hAnsiTheme="majorEastAsia" w:eastAsiaTheme="majorEastAsia"/>
          <w:b/>
          <w:sz w:val="44"/>
          <w:szCs w:val="44"/>
          <w:lang w:val="en-US" w:eastAsia="zh-CN"/>
        </w:rPr>
      </w:pPr>
      <w:r>
        <w:rPr>
          <w:rFonts w:hint="eastAsia" w:asciiTheme="majorEastAsia" w:hAnsiTheme="majorEastAsia" w:eastAsiaTheme="majorEastAsia"/>
          <w:b/>
          <w:sz w:val="44"/>
          <w:szCs w:val="44"/>
          <w:lang w:eastAsia="zh-CN"/>
        </w:rPr>
        <w:t>2024</w:t>
      </w:r>
      <w:r>
        <w:rPr>
          <w:rFonts w:hint="eastAsia" w:asciiTheme="majorEastAsia" w:hAnsiTheme="majorEastAsia" w:eastAsiaTheme="majorEastAsia"/>
          <w:b/>
          <w:sz w:val="44"/>
          <w:szCs w:val="44"/>
        </w:rPr>
        <w:t>年驻马店市</w:t>
      </w:r>
      <w:r>
        <w:rPr>
          <w:rFonts w:hint="eastAsia" w:asciiTheme="majorEastAsia" w:hAnsiTheme="majorEastAsia" w:eastAsiaTheme="majorEastAsia"/>
          <w:b/>
          <w:sz w:val="44"/>
          <w:szCs w:val="44"/>
          <w:lang w:val="en-US" w:eastAsia="zh-CN"/>
        </w:rPr>
        <w:t>驻马店市供销合作社</w:t>
      </w:r>
    </w:p>
    <w:p>
      <w:pPr>
        <w:spacing w:line="60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部门预算说明</w:t>
      </w:r>
    </w:p>
    <w:p>
      <w:pPr>
        <w:widowControl/>
        <w:spacing w:line="600" w:lineRule="exact"/>
        <w:ind w:firstLine="480"/>
        <w:jc w:val="center"/>
        <w:rPr>
          <w:rFonts w:ascii="仿宋" w:hAnsi="仿宋" w:eastAsia="仿宋" w:cs="Times New Roman"/>
          <w:b/>
          <w:bCs/>
          <w:kern w:val="0"/>
          <w:sz w:val="32"/>
          <w:szCs w:val="32"/>
        </w:rPr>
      </w:pPr>
    </w:p>
    <w:p>
      <w:pPr>
        <w:widowControl/>
        <w:spacing w:line="600" w:lineRule="exact"/>
        <w:ind w:firstLine="480"/>
        <w:jc w:val="center"/>
        <w:rPr>
          <w:rFonts w:ascii="宋体" w:cs="Times New Roman"/>
          <w:b/>
          <w:bCs/>
          <w:kern w:val="0"/>
          <w:sz w:val="52"/>
          <w:szCs w:val="52"/>
        </w:rPr>
      </w:pPr>
      <w:r>
        <w:rPr>
          <w:rFonts w:hint="eastAsia" w:ascii="宋体" w:hAnsi="宋体" w:cs="宋体"/>
          <w:b/>
          <w:bCs/>
          <w:kern w:val="0"/>
          <w:sz w:val="52"/>
          <w:szCs w:val="52"/>
        </w:rPr>
        <w:t>目</w:t>
      </w:r>
      <w:r>
        <w:rPr>
          <w:rFonts w:ascii="宋体" w:hAnsi="宋体" w:cs="宋体"/>
          <w:b/>
          <w:bCs/>
          <w:kern w:val="0"/>
          <w:sz w:val="52"/>
          <w:szCs w:val="52"/>
        </w:rPr>
        <w:t xml:space="preserve">  </w:t>
      </w:r>
      <w:r>
        <w:rPr>
          <w:rFonts w:hint="eastAsia" w:ascii="宋体" w:hAnsi="宋体" w:cs="宋体"/>
          <w:b/>
          <w:bCs/>
          <w:kern w:val="0"/>
          <w:sz w:val="52"/>
          <w:szCs w:val="52"/>
        </w:rPr>
        <w:t>录</w:t>
      </w:r>
    </w:p>
    <w:p>
      <w:pPr>
        <w:widowControl/>
        <w:spacing w:line="600" w:lineRule="exact"/>
        <w:ind w:firstLine="627" w:firstLineChars="196"/>
        <w:rPr>
          <w:rFonts w:hint="eastAsia" w:ascii="黑体" w:hAnsi="黑体" w:eastAsia="黑体" w:cs="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驻马店市供销合作社概况</w:t>
      </w:r>
    </w:p>
    <w:p>
      <w:pPr>
        <w:spacing w:line="600" w:lineRule="exact"/>
        <w:ind w:firstLine="640" w:firstLineChars="200"/>
        <w:rPr>
          <w:rFonts w:ascii="仿宋" w:hAnsi="仿宋" w:eastAsia="仿宋" w:cs="Times New Roman"/>
          <w:kern w:val="0"/>
          <w:sz w:val="32"/>
          <w:szCs w:val="32"/>
        </w:rPr>
      </w:pPr>
      <w:r>
        <w:rPr>
          <w:rFonts w:hint="eastAsia" w:ascii="仿宋" w:hAnsi="仿宋" w:eastAsia="仿宋" w:cs="仿宋_GB2312"/>
          <w:kern w:val="0"/>
          <w:sz w:val="32"/>
          <w:szCs w:val="32"/>
        </w:rPr>
        <w:t>一、主要职能</w:t>
      </w:r>
    </w:p>
    <w:p>
      <w:pPr>
        <w:spacing w:line="600" w:lineRule="exact"/>
        <w:ind w:firstLine="640" w:firstLineChars="200"/>
        <w:jc w:val="left"/>
        <w:rPr>
          <w:rFonts w:hint="eastAsia" w:ascii="仿宋" w:hAnsi="仿宋" w:eastAsia="仿宋" w:cs="仿宋_GB2312"/>
          <w:kern w:val="0"/>
          <w:sz w:val="32"/>
          <w:szCs w:val="32"/>
        </w:rPr>
      </w:pPr>
      <w:r>
        <w:rPr>
          <w:rFonts w:hint="eastAsia" w:ascii="仿宋" w:hAnsi="仿宋" w:eastAsia="仿宋" w:cs="仿宋_GB2312"/>
          <w:kern w:val="0"/>
          <w:sz w:val="32"/>
          <w:szCs w:val="32"/>
        </w:rPr>
        <w:t>二、预算单位构成情况</w:t>
      </w:r>
    </w:p>
    <w:p>
      <w:pPr>
        <w:spacing w:line="600" w:lineRule="exact"/>
        <w:ind w:firstLine="640" w:firstLineChars="200"/>
        <w:rPr>
          <w:rFonts w:ascii="仿宋" w:hAnsi="仿宋" w:eastAsia="仿宋" w:cs="Times New Roman"/>
          <w:kern w:val="0"/>
          <w:sz w:val="32"/>
          <w:szCs w:val="32"/>
        </w:rPr>
      </w:pPr>
    </w:p>
    <w:p>
      <w:pPr>
        <w:widowControl/>
        <w:spacing w:line="600" w:lineRule="exact"/>
        <w:ind w:firstLine="640" w:firstLineChars="200"/>
        <w:rPr>
          <w:rFonts w:ascii="黑体" w:hAnsi="黑体" w:eastAsia="黑体" w:cs="Times New Roman"/>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驻马店市</w:t>
      </w:r>
      <w:r>
        <w:rPr>
          <w:rFonts w:hint="eastAsia" w:ascii="黑体" w:hAnsi="黑体" w:eastAsia="黑体" w:cs="黑体"/>
          <w:kern w:val="0"/>
          <w:sz w:val="32"/>
          <w:szCs w:val="32"/>
          <w:lang w:val="en-US" w:eastAsia="zh-CN"/>
        </w:rPr>
        <w:t>供销合作社</w:t>
      </w:r>
      <w:r>
        <w:rPr>
          <w:rFonts w:hint="eastAsia" w:ascii="黑体" w:hAnsi="黑体" w:eastAsia="黑体" w:cs="黑体"/>
          <w:kern w:val="0"/>
          <w:sz w:val="32"/>
          <w:szCs w:val="32"/>
          <w:lang w:eastAsia="zh-CN"/>
        </w:rPr>
        <w:t>2024</w:t>
      </w:r>
      <w:r>
        <w:rPr>
          <w:rFonts w:hint="eastAsia" w:ascii="黑体" w:hAnsi="黑体" w:eastAsia="黑体" w:cs="黑体"/>
          <w:kern w:val="0"/>
          <w:sz w:val="32"/>
          <w:szCs w:val="32"/>
        </w:rPr>
        <w:t>年度部门预算情况说明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一、收入支出预算总体情况说明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二、收入预算总体情况说明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三、支出预算总体情况说明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四、财政拨款收入支出预算总体情况说明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五、一般公共预算支出预算情况说明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六、一般公共预算基本支出预算情况说明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七、政府性基金预算支出</w:t>
      </w:r>
      <w:r>
        <w:rPr>
          <w:rFonts w:hint="eastAsia" w:ascii="仿宋" w:hAnsi="仿宋" w:eastAsia="仿宋"/>
          <w:sz w:val="32"/>
          <w:szCs w:val="32"/>
          <w:lang w:eastAsia="zh-CN"/>
        </w:rPr>
        <w:t>预</w:t>
      </w:r>
      <w:r>
        <w:rPr>
          <w:rFonts w:hint="eastAsia" w:ascii="仿宋" w:hAnsi="仿宋" w:eastAsia="仿宋"/>
          <w:sz w:val="32"/>
          <w:szCs w:val="32"/>
        </w:rPr>
        <w:t>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八、“三公”经费支出预算情况说明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九、其他重要事项的情况说明</w:t>
      </w:r>
    </w:p>
    <w:p>
      <w:pPr>
        <w:widowControl/>
        <w:spacing w:line="600" w:lineRule="exact"/>
        <w:ind w:firstLine="640" w:firstLineChars="200"/>
        <w:rPr>
          <w:rFonts w:ascii="黑体" w:hAnsi="黑体" w:eastAsia="黑体" w:cs="Times New Roman"/>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名词解释</w:t>
      </w:r>
    </w:p>
    <w:p>
      <w:pPr>
        <w:widowControl/>
        <w:spacing w:line="600" w:lineRule="exact"/>
        <w:ind w:firstLine="640" w:firstLineChars="200"/>
        <w:rPr>
          <w:rFonts w:ascii="黑体" w:hAnsi="黑体" w:eastAsia="黑体" w:cs="Times New Roman"/>
          <w:kern w:val="0"/>
          <w:sz w:val="32"/>
          <w:szCs w:val="32"/>
        </w:rPr>
      </w:pPr>
      <w:r>
        <w:rPr>
          <w:rFonts w:hint="eastAsia" w:ascii="黑体" w:hAnsi="黑体" w:eastAsia="黑体" w:cs="黑体"/>
          <w:kern w:val="0"/>
          <w:sz w:val="32"/>
          <w:szCs w:val="32"/>
        </w:rPr>
        <w:t>附件：驻马店市</w:t>
      </w:r>
      <w:r>
        <w:rPr>
          <w:rFonts w:hint="eastAsia" w:ascii="黑体" w:hAnsi="黑体" w:eastAsia="黑体" w:cs="黑体"/>
          <w:kern w:val="0"/>
          <w:sz w:val="32"/>
          <w:szCs w:val="32"/>
          <w:lang w:val="en-US" w:eastAsia="zh-CN"/>
        </w:rPr>
        <w:t>供销合作社</w:t>
      </w:r>
      <w:r>
        <w:rPr>
          <w:rFonts w:hint="eastAsia" w:ascii="黑体" w:hAnsi="黑体" w:eastAsia="黑体" w:cs="黑体"/>
          <w:kern w:val="0"/>
          <w:sz w:val="32"/>
          <w:szCs w:val="32"/>
          <w:lang w:eastAsia="zh-CN"/>
        </w:rPr>
        <w:t>2024</w:t>
      </w:r>
      <w:r>
        <w:rPr>
          <w:rFonts w:hint="eastAsia" w:ascii="黑体" w:hAnsi="黑体" w:eastAsia="黑体" w:cs="黑体"/>
          <w:kern w:val="0"/>
          <w:sz w:val="32"/>
          <w:szCs w:val="32"/>
        </w:rPr>
        <w:t>年度部门预算表</w:t>
      </w:r>
    </w:p>
    <w:p>
      <w:pPr>
        <w:widowControl/>
        <w:spacing w:line="600" w:lineRule="exact"/>
        <w:ind w:firstLine="640" w:firstLineChars="200"/>
        <w:rPr>
          <w:rFonts w:hint="eastAsia" w:ascii="仿宋" w:hAnsi="仿宋" w:eastAsia="仿宋" w:cs="Times New Roman"/>
          <w:kern w:val="0"/>
          <w:sz w:val="32"/>
          <w:szCs w:val="32"/>
          <w:lang w:val="en-US" w:eastAsia="zh-CN"/>
        </w:rPr>
      </w:pPr>
      <w:r>
        <w:rPr>
          <w:rFonts w:hint="eastAsia" w:ascii="仿宋" w:hAnsi="仿宋" w:eastAsia="仿宋" w:cs="仿宋_GB2312"/>
          <w:kern w:val="0"/>
          <w:sz w:val="32"/>
          <w:szCs w:val="32"/>
        </w:rPr>
        <w:t>一、</w:t>
      </w:r>
      <w:r>
        <w:rPr>
          <w:rFonts w:hint="eastAsia" w:ascii="仿宋" w:hAnsi="仿宋" w:eastAsia="仿宋" w:cs="仿宋_GB2312"/>
          <w:kern w:val="0"/>
          <w:sz w:val="32"/>
          <w:szCs w:val="32"/>
          <w:lang w:eastAsia="zh-CN"/>
        </w:rPr>
        <w:t>单位收支总体情况表</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rPr>
        <w:t>二、</w:t>
      </w:r>
      <w:r>
        <w:rPr>
          <w:rFonts w:hint="eastAsia" w:ascii="仿宋" w:hAnsi="仿宋" w:eastAsia="仿宋" w:cs="仿宋_GB2312"/>
          <w:kern w:val="0"/>
          <w:sz w:val="32"/>
          <w:szCs w:val="32"/>
          <w:lang w:eastAsia="zh-CN"/>
        </w:rPr>
        <w:t>单位收入总体情况表</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rPr>
        <w:t>三、</w:t>
      </w:r>
      <w:r>
        <w:rPr>
          <w:rFonts w:hint="eastAsia" w:ascii="仿宋" w:hAnsi="仿宋" w:eastAsia="仿宋" w:cs="仿宋_GB2312"/>
          <w:kern w:val="0"/>
          <w:sz w:val="32"/>
          <w:szCs w:val="32"/>
          <w:lang w:eastAsia="zh-CN"/>
        </w:rPr>
        <w:t>单位支出总体情况表</w:t>
      </w:r>
    </w:p>
    <w:p>
      <w:pPr>
        <w:widowControl/>
        <w:spacing w:line="600" w:lineRule="exact"/>
        <w:ind w:firstLine="640" w:firstLineChars="200"/>
        <w:rPr>
          <w:rFonts w:ascii="仿宋" w:hAnsi="仿宋" w:eastAsia="仿宋" w:cs="Times New Roman"/>
          <w:kern w:val="0"/>
          <w:sz w:val="32"/>
          <w:szCs w:val="32"/>
        </w:rPr>
      </w:pPr>
      <w:r>
        <w:rPr>
          <w:rFonts w:hint="eastAsia" w:ascii="仿宋" w:hAnsi="仿宋" w:eastAsia="仿宋" w:cs="仿宋_GB2312"/>
          <w:kern w:val="0"/>
          <w:sz w:val="32"/>
          <w:szCs w:val="32"/>
        </w:rPr>
        <w:t>四、财政拨款收支总体</w:t>
      </w:r>
      <w:r>
        <w:rPr>
          <w:rFonts w:hint="eastAsia" w:ascii="仿宋" w:hAnsi="仿宋" w:eastAsia="仿宋" w:cs="仿宋_GB2312"/>
          <w:kern w:val="0"/>
          <w:sz w:val="32"/>
          <w:szCs w:val="32"/>
          <w:lang w:eastAsia="zh-CN"/>
        </w:rPr>
        <w:t>情况</w:t>
      </w:r>
      <w:r>
        <w:rPr>
          <w:rFonts w:hint="eastAsia" w:ascii="仿宋" w:hAnsi="仿宋" w:eastAsia="仿宋" w:cs="仿宋_GB2312"/>
          <w:kern w:val="0"/>
          <w:sz w:val="32"/>
          <w:szCs w:val="32"/>
        </w:rPr>
        <w:t>表</w:t>
      </w:r>
    </w:p>
    <w:p>
      <w:pPr>
        <w:widowControl/>
        <w:spacing w:line="600" w:lineRule="exact"/>
        <w:ind w:firstLine="640" w:firstLineChars="200"/>
        <w:rPr>
          <w:rFonts w:hint="eastAsia" w:ascii="仿宋" w:hAnsi="仿宋" w:eastAsia="仿宋" w:cs="仿宋_GB2312"/>
          <w:kern w:val="0"/>
          <w:sz w:val="32"/>
          <w:szCs w:val="32"/>
        </w:rPr>
      </w:pPr>
      <w:r>
        <w:rPr>
          <w:rFonts w:hint="eastAsia" w:ascii="仿宋" w:hAnsi="仿宋" w:eastAsia="仿宋" w:cs="仿宋_GB2312"/>
          <w:kern w:val="0"/>
          <w:sz w:val="32"/>
          <w:szCs w:val="32"/>
        </w:rPr>
        <w:t>五、一般公共预算支出</w:t>
      </w:r>
      <w:r>
        <w:rPr>
          <w:rFonts w:hint="eastAsia" w:ascii="仿宋" w:hAnsi="仿宋" w:eastAsia="仿宋" w:cs="仿宋_GB2312"/>
          <w:kern w:val="0"/>
          <w:sz w:val="32"/>
          <w:szCs w:val="32"/>
          <w:lang w:eastAsia="zh-CN"/>
        </w:rPr>
        <w:t>情况</w:t>
      </w:r>
      <w:r>
        <w:rPr>
          <w:rFonts w:hint="eastAsia" w:ascii="仿宋" w:hAnsi="仿宋" w:eastAsia="仿宋" w:cs="仿宋_GB2312"/>
          <w:kern w:val="0"/>
          <w:sz w:val="32"/>
          <w:szCs w:val="32"/>
        </w:rPr>
        <w:t>表</w:t>
      </w:r>
    </w:p>
    <w:p>
      <w:pPr>
        <w:widowControl/>
        <w:spacing w:line="600" w:lineRule="exact"/>
        <w:ind w:firstLine="640" w:firstLineChars="200"/>
        <w:rPr>
          <w:rFonts w:hint="eastAsia" w:ascii="仿宋" w:hAnsi="仿宋" w:eastAsia="仿宋" w:cs="仿宋_GB2312"/>
          <w:kern w:val="0"/>
          <w:sz w:val="32"/>
          <w:szCs w:val="32"/>
        </w:rPr>
      </w:pPr>
      <w:r>
        <w:rPr>
          <w:rFonts w:hint="eastAsia" w:ascii="仿宋" w:hAnsi="仿宋" w:eastAsia="仿宋" w:cs="仿宋_GB2312"/>
          <w:kern w:val="0"/>
          <w:sz w:val="32"/>
          <w:szCs w:val="32"/>
        </w:rPr>
        <w:t>六、一般公共预算基本支出情况表</w:t>
      </w:r>
    </w:p>
    <w:p>
      <w:pPr>
        <w:widowControl/>
        <w:spacing w:line="600" w:lineRule="exact"/>
        <w:ind w:firstLine="640" w:firstLineChars="200"/>
        <w:rPr>
          <w:rFonts w:ascii="仿宋" w:hAnsi="仿宋" w:eastAsia="仿宋" w:cs="Times New Roman"/>
          <w:kern w:val="0"/>
          <w:sz w:val="32"/>
          <w:szCs w:val="32"/>
        </w:rPr>
      </w:pPr>
      <w:r>
        <w:rPr>
          <w:rFonts w:hint="eastAsia" w:ascii="仿宋" w:hAnsi="仿宋" w:eastAsia="仿宋" w:cs="仿宋_GB2312"/>
          <w:kern w:val="0"/>
          <w:sz w:val="32"/>
          <w:szCs w:val="32"/>
          <w:lang w:eastAsia="zh-CN"/>
        </w:rPr>
        <w:t>七</w:t>
      </w:r>
      <w:r>
        <w:rPr>
          <w:rFonts w:hint="eastAsia" w:ascii="仿宋" w:hAnsi="仿宋" w:eastAsia="仿宋" w:cs="仿宋_GB2312"/>
          <w:kern w:val="0"/>
          <w:sz w:val="32"/>
          <w:szCs w:val="32"/>
        </w:rPr>
        <w:t>、支出经济分类汇总表</w:t>
      </w:r>
    </w:p>
    <w:p>
      <w:pPr>
        <w:widowControl/>
        <w:spacing w:line="600" w:lineRule="exact"/>
        <w:ind w:firstLine="640" w:firstLineChars="200"/>
        <w:rPr>
          <w:rFonts w:ascii="仿宋" w:hAnsi="仿宋" w:eastAsia="仿宋" w:cs="Times New Roman"/>
          <w:kern w:val="0"/>
          <w:sz w:val="32"/>
          <w:szCs w:val="32"/>
        </w:rPr>
      </w:pPr>
      <w:r>
        <w:rPr>
          <w:rFonts w:hint="eastAsia" w:ascii="仿宋" w:hAnsi="仿宋" w:eastAsia="仿宋" w:cs="仿宋_GB2312"/>
          <w:kern w:val="0"/>
          <w:sz w:val="32"/>
          <w:szCs w:val="32"/>
          <w:lang w:eastAsia="zh-CN"/>
        </w:rPr>
        <w:t>八</w:t>
      </w:r>
      <w:r>
        <w:rPr>
          <w:rFonts w:hint="eastAsia" w:ascii="仿宋" w:hAnsi="仿宋" w:eastAsia="仿宋" w:cs="仿宋_GB2312"/>
          <w:kern w:val="0"/>
          <w:sz w:val="32"/>
          <w:szCs w:val="32"/>
        </w:rPr>
        <w:t>、一般公共预算“三公”经费</w:t>
      </w:r>
      <w:r>
        <w:rPr>
          <w:rFonts w:hint="eastAsia" w:ascii="仿宋" w:hAnsi="仿宋" w:eastAsia="仿宋" w:cs="仿宋_GB2312"/>
          <w:kern w:val="0"/>
          <w:sz w:val="32"/>
          <w:szCs w:val="32"/>
          <w:lang w:eastAsia="zh-CN"/>
        </w:rPr>
        <w:t>支出情况</w:t>
      </w:r>
      <w:r>
        <w:rPr>
          <w:rFonts w:hint="eastAsia" w:ascii="仿宋" w:hAnsi="仿宋" w:eastAsia="仿宋" w:cs="仿宋_GB2312"/>
          <w:kern w:val="0"/>
          <w:sz w:val="32"/>
          <w:szCs w:val="32"/>
        </w:rPr>
        <w:t>表</w:t>
      </w:r>
    </w:p>
    <w:p>
      <w:pPr>
        <w:widowControl/>
        <w:spacing w:line="600" w:lineRule="exact"/>
        <w:ind w:firstLine="640" w:firstLineChars="200"/>
        <w:rPr>
          <w:rFonts w:hint="eastAsia" w:ascii="仿宋" w:hAnsi="仿宋" w:eastAsia="仿宋" w:cs="仿宋_GB2312"/>
          <w:kern w:val="0"/>
          <w:sz w:val="32"/>
          <w:szCs w:val="32"/>
        </w:rPr>
      </w:pPr>
      <w:r>
        <w:rPr>
          <w:rFonts w:hint="eastAsia" w:ascii="仿宋" w:hAnsi="仿宋" w:eastAsia="仿宋" w:cs="仿宋_GB2312"/>
          <w:kern w:val="0"/>
          <w:sz w:val="32"/>
          <w:szCs w:val="32"/>
          <w:lang w:eastAsia="zh-CN"/>
        </w:rPr>
        <w:t>九</w:t>
      </w:r>
      <w:r>
        <w:rPr>
          <w:rFonts w:hint="eastAsia" w:ascii="仿宋" w:hAnsi="仿宋" w:eastAsia="仿宋" w:cs="仿宋_GB2312"/>
          <w:kern w:val="0"/>
          <w:sz w:val="32"/>
          <w:szCs w:val="32"/>
        </w:rPr>
        <w:t>、政府性基金预算支出</w:t>
      </w:r>
      <w:r>
        <w:rPr>
          <w:rFonts w:hint="eastAsia" w:ascii="仿宋" w:hAnsi="仿宋" w:eastAsia="仿宋" w:cs="仿宋_GB2312"/>
          <w:kern w:val="0"/>
          <w:sz w:val="32"/>
          <w:szCs w:val="32"/>
          <w:lang w:eastAsia="zh-CN"/>
        </w:rPr>
        <w:t>情况</w:t>
      </w:r>
      <w:r>
        <w:rPr>
          <w:rFonts w:hint="eastAsia" w:ascii="仿宋" w:hAnsi="仿宋" w:eastAsia="仿宋" w:cs="仿宋_GB2312"/>
          <w:kern w:val="0"/>
          <w:sz w:val="32"/>
          <w:szCs w:val="32"/>
        </w:rPr>
        <w:t>表</w:t>
      </w:r>
    </w:p>
    <w:p>
      <w:pPr>
        <w:widowControl/>
        <w:spacing w:line="600" w:lineRule="exact"/>
        <w:ind w:firstLine="640" w:firstLineChars="200"/>
        <w:rPr>
          <w:rFonts w:hint="eastAsia" w:ascii="仿宋" w:hAnsi="仿宋" w:eastAsia="仿宋" w:cs="仿宋_GB2312"/>
          <w:kern w:val="0"/>
          <w:sz w:val="32"/>
          <w:szCs w:val="32"/>
        </w:rPr>
      </w:pPr>
      <w:r>
        <w:rPr>
          <w:rFonts w:hint="eastAsia" w:ascii="仿宋" w:hAnsi="仿宋" w:eastAsia="仿宋" w:cs="仿宋_GB2312"/>
          <w:kern w:val="0"/>
          <w:sz w:val="32"/>
          <w:szCs w:val="32"/>
        </w:rPr>
        <w:t>十、单位项目支出情况表</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十一</w:t>
      </w:r>
      <w:r>
        <w:rPr>
          <w:rFonts w:hint="eastAsia" w:ascii="仿宋" w:hAnsi="仿宋" w:eastAsia="仿宋" w:cs="仿宋_GB2312"/>
          <w:kern w:val="0"/>
          <w:sz w:val="32"/>
          <w:szCs w:val="32"/>
        </w:rPr>
        <w:t>、</w:t>
      </w:r>
      <w:r>
        <w:rPr>
          <w:rFonts w:hint="eastAsia" w:ascii="仿宋" w:hAnsi="仿宋" w:eastAsia="仿宋" w:cs="仿宋_GB2312"/>
          <w:kern w:val="0"/>
          <w:sz w:val="32"/>
          <w:szCs w:val="32"/>
          <w:lang w:eastAsia="zh-CN"/>
        </w:rPr>
        <w:t>单位预算项目绩效目标汇总表</w:t>
      </w: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jc w:val="center"/>
        <w:rPr>
          <w:rFonts w:ascii="黑体" w:hAnsi="黑体" w:eastAsia="黑体"/>
          <w:sz w:val="36"/>
          <w:szCs w:val="36"/>
        </w:rPr>
      </w:pPr>
    </w:p>
    <w:p>
      <w:pPr>
        <w:spacing w:line="600" w:lineRule="exact"/>
        <w:jc w:val="center"/>
        <w:rPr>
          <w:rFonts w:ascii="黑体" w:hAnsi="黑体" w:eastAsia="黑体"/>
          <w:sz w:val="36"/>
          <w:szCs w:val="36"/>
        </w:rPr>
      </w:pPr>
      <w:r>
        <w:rPr>
          <w:rFonts w:hint="eastAsia" w:ascii="黑体" w:hAnsi="黑体" w:eastAsia="黑体"/>
          <w:sz w:val="36"/>
          <w:szCs w:val="36"/>
        </w:rPr>
        <w:t>第一部分</w:t>
      </w:r>
    </w:p>
    <w:p>
      <w:pPr>
        <w:spacing w:line="600" w:lineRule="exact"/>
        <w:jc w:val="center"/>
        <w:rPr>
          <w:rFonts w:ascii="黑体" w:hAnsi="黑体" w:eastAsia="黑体"/>
          <w:sz w:val="36"/>
          <w:szCs w:val="36"/>
        </w:rPr>
      </w:pPr>
      <w:r>
        <w:rPr>
          <w:rFonts w:hint="eastAsia" w:ascii="黑体" w:hAnsi="黑体" w:eastAsia="黑体"/>
          <w:sz w:val="36"/>
          <w:szCs w:val="36"/>
        </w:rPr>
        <w:t>驻马店</w:t>
      </w:r>
      <w:r>
        <w:rPr>
          <w:rFonts w:hint="eastAsia" w:ascii="黑体" w:hAnsi="黑体" w:eastAsia="黑体"/>
          <w:sz w:val="36"/>
          <w:szCs w:val="36"/>
          <w:lang w:val="en-US" w:eastAsia="zh-CN"/>
        </w:rPr>
        <w:t>市供销合作社</w:t>
      </w:r>
      <w:r>
        <w:rPr>
          <w:rFonts w:hint="eastAsia" w:ascii="黑体" w:hAnsi="黑体" w:eastAsia="黑体"/>
          <w:sz w:val="36"/>
          <w:szCs w:val="36"/>
        </w:rPr>
        <w:t>概况</w:t>
      </w:r>
    </w:p>
    <w:p>
      <w:pPr>
        <w:spacing w:line="600" w:lineRule="exact"/>
      </w:pPr>
      <w:r>
        <w:t> </w:t>
      </w:r>
    </w:p>
    <w:p>
      <w:pPr>
        <w:numPr>
          <w:ilvl w:val="0"/>
          <w:numId w:val="1"/>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驻马店市</w:t>
      </w:r>
      <w:r>
        <w:rPr>
          <w:rFonts w:hint="eastAsia" w:ascii="黑体" w:hAnsi="黑体" w:eastAsia="黑体"/>
          <w:sz w:val="32"/>
          <w:szCs w:val="32"/>
          <w:lang w:val="en-US" w:eastAsia="zh-CN"/>
        </w:rPr>
        <w:t>供销合作社</w:t>
      </w:r>
      <w:r>
        <w:rPr>
          <w:rFonts w:hint="eastAsia" w:ascii="黑体" w:hAnsi="黑体" w:eastAsia="黑体"/>
          <w:sz w:val="32"/>
          <w:szCs w:val="32"/>
        </w:rPr>
        <w:t>主要职能</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驻马店市供销合作社是全市供销合作社的行业管理机构，是全市供销合作社的联合组织，是为农服务的合作经济组织，主要职能和任务如下：</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1.宣传贯彻落实党中央、国务院和省委、省政府、市委、市政府有关农村经济工作和社会发展的方针政策,参与研究和实施全市合作经济发展和农村现代流通的政策和规定。</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2.制定全市供销合作社发展战略和发展规划,指导全市供销合作社的改革与发展, 组织全市供销合作社系统资产、资金、资本、资源的整合优化和管理。</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3.推进供销合作社法治建设,推动和参与有关法律法规和政策的制定。</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4.承担发展农村合作经济组织的指导、协调、监督、服务职能,落实国家扶持农村合作经济组织的政策和措施。指导各级供销合作社推进基层组织体系建设,发展农民专业合作社、综合服务中心和消费、金融、土地托管流转等新型合作经济组织及行业协会等。</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5.承担政府委托的任务,按照授权对重要农业生产资料、棉花、再生资源及其他商品的经营、储备进行组织、协调和管理,承担政府向社会力量购买的公共服务。</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6.负责全市供销合作社系统开展联合与合作,打造现代化的流通体系、市场化的经营体系、规模化的服务体系、合作化的组织体系,促进农村一二三产业融合发展,更好履行为农服务职责,参与实施乡村振兴战略。</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7.指导全市供销合作社系统构建联合社机关主导的行业指导体系和社有企业支撑的经营服务体系,形成社企分开、上下贯通、整体协调、高效运转的双线运行机制。</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8.指导全市供销合作社系统精神文明和合作社文化建设,开展全市供销合作社系统教育培训工作,提升干部队伍和农村专业技术人才素质。</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9.行使社有资产出资人代表职能, 依法享有资产收益、重大决策和选择管理者的权利。负责社有资产保值增值和资产安全及指导全系统加强社有资产的监督管理。</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10.向政府和有关部门及时反映农村合作经济组织和供销合作社的意见与诉求,维护其合法权益。</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11.代表全市供销合作社参加全国、全省性活动,加强各领域的对外交流与合作,接受捐赠、资助。</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12.承办市委、市政府和全国供销合作总社、省供销合作总社交办的其他工作。</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val="en-US" w:eastAsia="zh-CN"/>
        </w:rPr>
        <w:t>驻马店市供销合作社</w:t>
      </w:r>
      <w:r>
        <w:rPr>
          <w:rFonts w:hint="eastAsia" w:ascii="黑体" w:hAnsi="黑体" w:eastAsia="黑体"/>
          <w:sz w:val="32"/>
          <w:szCs w:val="32"/>
        </w:rPr>
        <w:t>预算单位构成</w:t>
      </w:r>
    </w:p>
    <w:p>
      <w:pPr>
        <w:spacing w:line="55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驻马店市</w:t>
      </w:r>
      <w:r>
        <w:rPr>
          <w:rFonts w:hint="eastAsia" w:ascii="仿宋" w:hAnsi="仿宋" w:eastAsia="仿宋" w:cs="仿宋_GB2312"/>
          <w:sz w:val="32"/>
          <w:szCs w:val="32"/>
          <w:lang w:val="en-US" w:eastAsia="zh-CN"/>
        </w:rPr>
        <w:t>供销合作社</w:t>
      </w:r>
      <w:r>
        <w:rPr>
          <w:rFonts w:hint="eastAsia" w:ascii="仿宋" w:hAnsi="仿宋" w:eastAsia="仿宋" w:cs="仿宋_GB2312"/>
          <w:sz w:val="32"/>
          <w:szCs w:val="32"/>
        </w:rPr>
        <w:t>内设</w:t>
      </w:r>
      <w:r>
        <w:rPr>
          <w:rFonts w:hint="eastAsia" w:ascii="仿宋" w:hAnsi="仿宋" w:eastAsia="仿宋" w:cs="仿宋_GB2312"/>
          <w:sz w:val="32"/>
          <w:szCs w:val="32"/>
          <w:lang w:val="en-US" w:eastAsia="zh-CN"/>
        </w:rPr>
        <w:t>6</w:t>
      </w:r>
      <w:r>
        <w:rPr>
          <w:rFonts w:hint="eastAsia" w:ascii="仿宋" w:hAnsi="仿宋" w:eastAsia="仿宋" w:cs="仿宋_GB2312"/>
          <w:sz w:val="32"/>
          <w:szCs w:val="32"/>
        </w:rPr>
        <w:t>个职能科室，分别是办公室、人事教育科、资产监管科（监事会办公室）、业务协调科、合作指导科、发展改革科。</w:t>
      </w:r>
    </w:p>
    <w:p>
      <w:pPr>
        <w:widowControl/>
        <w:spacing w:line="600" w:lineRule="exact"/>
        <w:ind w:firstLine="640" w:firstLineChars="200"/>
        <w:jc w:val="left"/>
        <w:rPr>
          <w:rFonts w:ascii="黑体" w:hAnsi="黑体" w:eastAsia="黑体" w:cs="黑体"/>
          <w:kern w:val="0"/>
          <w:sz w:val="36"/>
          <w:szCs w:val="36"/>
        </w:rPr>
      </w:pPr>
      <w:r>
        <w:rPr>
          <w:rFonts w:hint="eastAsia" w:ascii="仿宋" w:hAnsi="仿宋" w:eastAsia="仿宋" w:cs="仿宋_GB2312"/>
          <w:sz w:val="32"/>
          <w:szCs w:val="32"/>
        </w:rPr>
        <w:t>驻马店市供销合作社，无二级机构和下属事业单位，因此本部门预算只含有本部门机关预算。</w:t>
      </w: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黑体"/>
          <w:kern w:val="0"/>
          <w:sz w:val="36"/>
          <w:szCs w:val="36"/>
        </w:rPr>
      </w:pPr>
    </w:p>
    <w:p>
      <w:pPr>
        <w:widowControl/>
        <w:spacing w:line="600" w:lineRule="exact"/>
        <w:jc w:val="center"/>
        <w:rPr>
          <w:rFonts w:ascii="黑体" w:hAnsi="黑体" w:eastAsia="黑体" w:cs="Times New Roman"/>
          <w:kern w:val="0"/>
          <w:sz w:val="36"/>
          <w:szCs w:val="36"/>
        </w:rPr>
      </w:pPr>
      <w:r>
        <w:rPr>
          <w:rFonts w:hint="eastAsia" w:ascii="黑体" w:hAnsi="黑体" w:eastAsia="黑体" w:cs="黑体"/>
          <w:kern w:val="0"/>
          <w:sz w:val="36"/>
          <w:szCs w:val="36"/>
        </w:rPr>
        <w:t>第二部分</w:t>
      </w:r>
      <w:r>
        <w:rPr>
          <w:rFonts w:ascii="黑体" w:hAnsi="黑体" w:eastAsia="黑体" w:cs="黑体"/>
          <w:kern w:val="0"/>
          <w:sz w:val="36"/>
          <w:szCs w:val="36"/>
        </w:rPr>
        <w:t xml:space="preserve"> </w:t>
      </w:r>
    </w:p>
    <w:p>
      <w:pPr>
        <w:widowControl/>
        <w:spacing w:line="600" w:lineRule="exact"/>
        <w:jc w:val="center"/>
        <w:rPr>
          <w:rFonts w:ascii="黑体" w:hAnsi="黑体" w:eastAsia="黑体" w:cs="Times New Roman"/>
          <w:kern w:val="0"/>
          <w:sz w:val="36"/>
          <w:szCs w:val="36"/>
        </w:rPr>
      </w:pPr>
      <w:r>
        <w:rPr>
          <w:rFonts w:ascii="黑体" w:hAnsi="黑体" w:eastAsia="黑体" w:cs="黑体"/>
          <w:kern w:val="0"/>
          <w:sz w:val="36"/>
          <w:szCs w:val="36"/>
        </w:rPr>
        <w:t xml:space="preserve"> </w:t>
      </w:r>
      <w:r>
        <w:rPr>
          <w:rFonts w:hint="eastAsia" w:ascii="黑体" w:hAnsi="黑体" w:eastAsia="黑体" w:cs="黑体"/>
          <w:kern w:val="0"/>
          <w:sz w:val="36"/>
          <w:szCs w:val="36"/>
        </w:rPr>
        <w:t>驻马店市</w:t>
      </w:r>
      <w:r>
        <w:rPr>
          <w:rFonts w:hint="eastAsia" w:ascii="黑体" w:hAnsi="黑体" w:eastAsia="黑体" w:cs="黑体"/>
          <w:kern w:val="0"/>
          <w:sz w:val="36"/>
          <w:szCs w:val="36"/>
          <w:lang w:val="en-US" w:eastAsia="zh-CN"/>
        </w:rPr>
        <w:t>供销合作社</w:t>
      </w:r>
      <w:r>
        <w:rPr>
          <w:rFonts w:hint="eastAsia" w:ascii="黑体" w:hAnsi="黑体" w:eastAsia="黑体" w:cs="黑体"/>
          <w:kern w:val="0"/>
          <w:sz w:val="36"/>
          <w:szCs w:val="36"/>
          <w:lang w:eastAsia="zh-CN"/>
        </w:rPr>
        <w:t>2024</w:t>
      </w:r>
      <w:r>
        <w:rPr>
          <w:rFonts w:hint="eastAsia" w:ascii="黑体" w:hAnsi="黑体" w:eastAsia="黑体" w:cs="黑体"/>
          <w:kern w:val="0"/>
          <w:sz w:val="36"/>
          <w:szCs w:val="36"/>
        </w:rPr>
        <w:t>年度部门预算情况说明</w:t>
      </w:r>
    </w:p>
    <w:p>
      <w:pPr>
        <w:spacing w:line="600" w:lineRule="exact"/>
        <w:rPr>
          <w:rFonts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spacing w:line="600" w:lineRule="exact"/>
        <w:ind w:firstLine="640" w:firstLineChars="200"/>
        <w:rPr>
          <w:rFonts w:ascii="仿宋" w:hAnsi="仿宋" w:eastAsia="仿宋" w:cs="Times New Roman"/>
          <w:sz w:val="32"/>
          <w:szCs w:val="32"/>
        </w:rPr>
      </w:pPr>
      <w:r>
        <w:rPr>
          <w:rFonts w:ascii="华文仿宋" w:hAnsi="华文仿宋" w:eastAsia="仿宋" w:cs="Times New Roman"/>
          <w:sz w:val="32"/>
          <w:szCs w:val="32"/>
        </w:rPr>
        <w:t> </w:t>
      </w:r>
      <w:r>
        <w:rPr>
          <w:rFonts w:hint="eastAsia" w:ascii="仿宋" w:hAnsi="仿宋" w:eastAsia="仿宋" w:cs="仿宋_GB2312"/>
          <w:sz w:val="32"/>
          <w:szCs w:val="32"/>
        </w:rPr>
        <w:t>驻马店市</w:t>
      </w:r>
      <w:r>
        <w:rPr>
          <w:rFonts w:hint="eastAsia" w:ascii="仿宋" w:hAnsi="仿宋" w:eastAsia="仿宋" w:cs="仿宋_GB2312"/>
          <w:sz w:val="32"/>
          <w:szCs w:val="32"/>
          <w:lang w:val="en-US" w:eastAsia="zh-CN"/>
        </w:rPr>
        <w:t>供销合作社</w:t>
      </w:r>
      <w:r>
        <w:rPr>
          <w:rFonts w:hint="eastAsia" w:ascii="仿宋" w:hAnsi="仿宋" w:eastAsia="仿宋" w:cs="仿宋_GB2312"/>
          <w:color w:val="000000"/>
          <w:sz w:val="32"/>
          <w:szCs w:val="32"/>
          <w:lang w:eastAsia="zh-CN"/>
        </w:rPr>
        <w:t>2024</w:t>
      </w:r>
      <w:r>
        <w:rPr>
          <w:rFonts w:hint="eastAsia" w:ascii="仿宋" w:hAnsi="仿宋" w:eastAsia="仿宋" w:cs="仿宋_GB2312"/>
          <w:color w:val="000000"/>
          <w:sz w:val="32"/>
          <w:szCs w:val="32"/>
        </w:rPr>
        <w:t>年收入总计</w:t>
      </w:r>
      <w:r>
        <w:rPr>
          <w:rFonts w:hint="eastAsia" w:ascii="仿宋" w:hAnsi="仿宋" w:eastAsia="仿宋" w:cs="仿宋_GB2312"/>
          <w:color w:val="000000"/>
          <w:sz w:val="32"/>
          <w:szCs w:val="32"/>
          <w:lang w:val="en-US" w:eastAsia="zh-CN"/>
        </w:rPr>
        <w:t>821.27</w:t>
      </w:r>
      <w:r>
        <w:rPr>
          <w:rFonts w:hint="eastAsia" w:ascii="仿宋" w:hAnsi="仿宋" w:eastAsia="仿宋" w:cs="仿宋_GB2312"/>
          <w:color w:val="000000"/>
          <w:sz w:val="32"/>
          <w:szCs w:val="32"/>
        </w:rPr>
        <w:t>万元，支出总计</w:t>
      </w:r>
      <w:r>
        <w:rPr>
          <w:rFonts w:hint="eastAsia" w:ascii="仿宋" w:hAnsi="仿宋" w:eastAsia="仿宋" w:cs="仿宋_GB2312"/>
          <w:color w:val="000000"/>
          <w:sz w:val="32"/>
          <w:szCs w:val="32"/>
          <w:lang w:val="en-US" w:eastAsia="zh-CN"/>
        </w:rPr>
        <w:t>821.27</w:t>
      </w:r>
      <w:r>
        <w:rPr>
          <w:rFonts w:hint="eastAsia" w:ascii="仿宋" w:hAnsi="仿宋" w:eastAsia="仿宋" w:cs="仿宋_GB2312"/>
          <w:color w:val="000000"/>
          <w:sz w:val="32"/>
          <w:szCs w:val="32"/>
        </w:rPr>
        <w:t>万元，与</w:t>
      </w:r>
      <w:r>
        <w:rPr>
          <w:rFonts w:hint="eastAsia" w:ascii="仿宋" w:hAnsi="仿宋" w:eastAsia="仿宋" w:cs="仿宋_GB2312"/>
          <w:color w:val="000000"/>
          <w:sz w:val="32"/>
          <w:szCs w:val="32"/>
          <w:lang w:eastAsia="zh-CN"/>
        </w:rPr>
        <w:t>202</w:t>
      </w:r>
      <w:r>
        <w:rPr>
          <w:rFonts w:hint="eastAsia" w:ascii="仿宋" w:hAnsi="仿宋" w:eastAsia="仿宋" w:cs="仿宋_GB2312"/>
          <w:color w:val="000000"/>
          <w:sz w:val="32"/>
          <w:szCs w:val="32"/>
          <w:lang w:val="en-US" w:eastAsia="zh-CN"/>
        </w:rPr>
        <w:t>3</w:t>
      </w:r>
      <w:r>
        <w:rPr>
          <w:rFonts w:hint="eastAsia" w:ascii="仿宋" w:hAnsi="仿宋" w:eastAsia="仿宋" w:cs="仿宋_GB2312"/>
          <w:color w:val="000000"/>
          <w:sz w:val="32"/>
          <w:szCs w:val="32"/>
        </w:rPr>
        <w:t>年预算相比，收、支总计各</w:t>
      </w:r>
      <w:r>
        <w:rPr>
          <w:rFonts w:hint="eastAsia" w:ascii="仿宋" w:hAnsi="仿宋" w:eastAsia="仿宋" w:cs="仿宋_GB2312"/>
          <w:color w:val="000000"/>
          <w:sz w:val="32"/>
          <w:szCs w:val="32"/>
          <w:lang w:val="en-US" w:eastAsia="zh-CN"/>
        </w:rPr>
        <w:t>增加73.6</w:t>
      </w:r>
      <w:r>
        <w:rPr>
          <w:rFonts w:hint="eastAsia" w:ascii="仿宋" w:hAnsi="仿宋" w:eastAsia="仿宋" w:cs="仿宋_GB2312"/>
          <w:color w:val="000000"/>
          <w:sz w:val="32"/>
          <w:szCs w:val="32"/>
        </w:rPr>
        <w:t>万元，</w:t>
      </w:r>
      <w:r>
        <w:rPr>
          <w:rFonts w:hint="eastAsia" w:ascii="仿宋" w:hAnsi="仿宋" w:eastAsia="仿宋" w:cs="仿宋_GB2312"/>
          <w:color w:val="000000"/>
          <w:sz w:val="32"/>
          <w:szCs w:val="32"/>
          <w:lang w:eastAsia="zh-CN"/>
        </w:rPr>
        <w:t>上升</w:t>
      </w:r>
      <w:r>
        <w:rPr>
          <w:rFonts w:hint="eastAsia" w:ascii="仿宋" w:hAnsi="仿宋" w:eastAsia="仿宋" w:cs="仿宋_GB2312"/>
          <w:color w:val="000000"/>
          <w:sz w:val="32"/>
          <w:szCs w:val="32"/>
          <w:lang w:val="en-US" w:eastAsia="zh-CN"/>
        </w:rPr>
        <w:t>9.84</w:t>
      </w:r>
      <w:r>
        <w:rPr>
          <w:rFonts w:ascii="仿宋" w:hAnsi="仿宋" w:eastAsia="仿宋" w:cs="仿宋_GB2312"/>
          <w:color w:val="000000"/>
          <w:sz w:val="32"/>
          <w:szCs w:val="32"/>
        </w:rPr>
        <w:t>%</w:t>
      </w:r>
      <w:r>
        <w:rPr>
          <w:rFonts w:hint="eastAsia" w:ascii="仿宋" w:hAnsi="仿宋" w:eastAsia="仿宋" w:cs="仿宋_GB2312"/>
          <w:color w:val="000000"/>
          <w:sz w:val="32"/>
          <w:szCs w:val="32"/>
        </w:rPr>
        <w:t>。主要原因</w:t>
      </w:r>
      <w:r>
        <w:rPr>
          <w:rFonts w:hint="eastAsia" w:ascii="仿宋" w:hAnsi="仿宋" w:eastAsia="仿宋" w:cs="仿宋_GB2312"/>
          <w:color w:val="000000"/>
          <w:sz w:val="32"/>
          <w:szCs w:val="32"/>
          <w:lang w:eastAsia="zh-CN"/>
        </w:rPr>
        <w:t>：</w:t>
      </w:r>
      <w:r>
        <w:rPr>
          <w:rFonts w:hint="eastAsia" w:ascii="仿宋" w:hAnsi="仿宋" w:eastAsia="仿宋" w:cs="仿宋_GB2312"/>
          <w:b w:val="0"/>
          <w:bCs w:val="0"/>
          <w:color w:val="000000"/>
          <w:sz w:val="32"/>
          <w:szCs w:val="32"/>
        </w:rPr>
        <w:t>一是在职人员新录用、正常晋级晋档、基础绩效</w:t>
      </w:r>
      <w:r>
        <w:rPr>
          <w:rFonts w:hint="eastAsia" w:ascii="仿宋" w:hAnsi="仿宋" w:eastAsia="仿宋" w:cs="仿宋_GB2312"/>
          <w:b w:val="0"/>
          <w:bCs w:val="0"/>
          <w:color w:val="000000"/>
          <w:sz w:val="32"/>
          <w:szCs w:val="32"/>
          <w:lang w:eastAsia="zh-CN"/>
        </w:rPr>
        <w:t>、</w:t>
      </w:r>
      <w:r>
        <w:rPr>
          <w:rFonts w:hint="eastAsia" w:ascii="仿宋" w:hAnsi="仿宋" w:eastAsia="仿宋" w:cs="仿宋_GB2312"/>
          <w:b w:val="0"/>
          <w:bCs w:val="0"/>
          <w:color w:val="000000"/>
          <w:sz w:val="32"/>
          <w:szCs w:val="32"/>
          <w:lang w:val="en-US" w:eastAsia="zh-CN"/>
        </w:rPr>
        <w:t>住房公积金</w:t>
      </w:r>
      <w:r>
        <w:rPr>
          <w:rFonts w:hint="eastAsia" w:ascii="仿宋" w:hAnsi="仿宋" w:eastAsia="仿宋" w:cs="仿宋_GB2312"/>
          <w:b w:val="0"/>
          <w:bCs w:val="0"/>
          <w:color w:val="000000"/>
          <w:sz w:val="32"/>
          <w:szCs w:val="32"/>
        </w:rPr>
        <w:t>调整等的工资浮动；二是离休人员离休费、退休人员部分退休费和各类社保缴费支出的正常增长，导致较上一年度有所增长。</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驻马店</w:t>
      </w:r>
      <w:r>
        <w:rPr>
          <w:rFonts w:hint="eastAsia" w:ascii="仿宋" w:hAnsi="仿宋" w:eastAsia="仿宋"/>
          <w:sz w:val="32"/>
          <w:szCs w:val="32"/>
          <w:lang w:val="en-US" w:eastAsia="zh-CN"/>
        </w:rPr>
        <w:t>市供销合作社</w:t>
      </w:r>
      <w:r>
        <w:rPr>
          <w:rFonts w:eastAsia="仿宋"/>
          <w:sz w:val="32"/>
          <w:szCs w:val="32"/>
        </w:rPr>
        <w:t>  </w:t>
      </w:r>
      <w:r>
        <w:rPr>
          <w:rFonts w:hint="eastAsia" w:ascii="仿宋" w:hAnsi="仿宋" w:eastAsia="仿宋"/>
          <w:sz w:val="32"/>
          <w:szCs w:val="32"/>
          <w:lang w:eastAsia="zh-CN"/>
        </w:rPr>
        <w:t>2024</w:t>
      </w:r>
      <w:r>
        <w:rPr>
          <w:rFonts w:hint="eastAsia" w:ascii="仿宋" w:hAnsi="仿宋" w:eastAsia="仿宋"/>
          <w:sz w:val="32"/>
          <w:szCs w:val="32"/>
        </w:rPr>
        <w:t>年收入合计</w:t>
      </w:r>
      <w:r>
        <w:rPr>
          <w:rFonts w:hint="eastAsia" w:ascii="仿宋" w:hAnsi="仿宋" w:eastAsia="仿宋"/>
          <w:sz w:val="32"/>
          <w:szCs w:val="32"/>
          <w:lang w:val="en-US" w:eastAsia="zh-CN"/>
        </w:rPr>
        <w:t>821.27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821.27</w:t>
      </w:r>
      <w:r>
        <w:rPr>
          <w:rFonts w:hint="eastAsia" w:ascii="仿宋" w:hAnsi="仿宋" w:eastAsia="仿宋"/>
          <w:sz w:val="32"/>
          <w:szCs w:val="32"/>
        </w:rPr>
        <w:t>万元。</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三、支出预算总体情况说明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驻马店市</w:t>
      </w:r>
      <w:r>
        <w:rPr>
          <w:rFonts w:hint="eastAsia" w:ascii="仿宋" w:hAnsi="仿宋" w:eastAsia="仿宋"/>
          <w:sz w:val="32"/>
          <w:szCs w:val="32"/>
          <w:lang w:val="en-US" w:eastAsia="zh-CN"/>
        </w:rPr>
        <w:t>供销合作社</w:t>
      </w:r>
      <w:r>
        <w:rPr>
          <w:rFonts w:hint="eastAsia" w:ascii="仿宋" w:hAnsi="仿宋" w:eastAsia="仿宋"/>
          <w:sz w:val="32"/>
          <w:szCs w:val="32"/>
          <w:lang w:eastAsia="zh-CN"/>
        </w:rPr>
        <w:t>2024</w:t>
      </w:r>
      <w:r>
        <w:rPr>
          <w:rFonts w:hint="eastAsia" w:ascii="仿宋" w:hAnsi="仿宋" w:eastAsia="仿宋"/>
          <w:sz w:val="32"/>
          <w:szCs w:val="32"/>
        </w:rPr>
        <w:t>年支出合计</w:t>
      </w:r>
      <w:r>
        <w:rPr>
          <w:rFonts w:hint="eastAsia" w:ascii="仿宋" w:hAnsi="仿宋" w:eastAsia="仿宋"/>
          <w:sz w:val="32"/>
          <w:szCs w:val="32"/>
          <w:lang w:val="en-US" w:eastAsia="zh-CN"/>
        </w:rPr>
        <w:t>821.27</w:t>
      </w:r>
      <w:r>
        <w:rPr>
          <w:rFonts w:hint="eastAsia" w:ascii="仿宋" w:hAnsi="仿宋" w:eastAsia="仿宋"/>
          <w:sz w:val="32"/>
          <w:szCs w:val="32"/>
        </w:rPr>
        <w:t>万元，其中：基本支出</w:t>
      </w:r>
      <w:r>
        <w:rPr>
          <w:rFonts w:hint="eastAsia" w:ascii="仿宋" w:hAnsi="仿宋" w:eastAsia="仿宋"/>
          <w:sz w:val="32"/>
          <w:szCs w:val="32"/>
          <w:lang w:val="en-US" w:eastAsia="zh-CN"/>
        </w:rPr>
        <w:t>797.87</w:t>
      </w:r>
      <w:r>
        <w:rPr>
          <w:rFonts w:hint="eastAsia" w:ascii="仿宋" w:hAnsi="仿宋" w:eastAsia="仿宋"/>
          <w:sz w:val="32"/>
          <w:szCs w:val="32"/>
        </w:rPr>
        <w:t>万元，占</w:t>
      </w:r>
      <w:r>
        <w:rPr>
          <w:rFonts w:hint="eastAsia" w:ascii="仿宋" w:hAnsi="仿宋" w:eastAsia="仿宋"/>
          <w:sz w:val="32"/>
          <w:szCs w:val="32"/>
          <w:lang w:val="en-US" w:eastAsia="zh-CN"/>
        </w:rPr>
        <w:t>97.15</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sz w:val="32"/>
          <w:szCs w:val="32"/>
          <w:lang w:val="en-US" w:eastAsia="zh-CN"/>
        </w:rPr>
        <w:t>23.4</w:t>
      </w:r>
      <w:r>
        <w:rPr>
          <w:rFonts w:hint="eastAsia" w:ascii="仿宋" w:hAnsi="仿宋" w:eastAsia="仿宋"/>
          <w:sz w:val="32"/>
          <w:szCs w:val="32"/>
        </w:rPr>
        <w:t>万元，占</w:t>
      </w:r>
      <w:r>
        <w:rPr>
          <w:rFonts w:hint="eastAsia" w:ascii="仿宋" w:hAnsi="仿宋" w:eastAsia="仿宋"/>
          <w:sz w:val="32"/>
          <w:szCs w:val="32"/>
          <w:lang w:val="en-US" w:eastAsia="zh-CN"/>
        </w:rPr>
        <w:t>2.85</w:t>
      </w:r>
      <w:r>
        <w:rPr>
          <w:rFonts w:ascii="仿宋" w:hAnsi="仿宋" w:eastAsia="仿宋"/>
          <w:sz w:val="32"/>
          <w:szCs w:val="32"/>
        </w:rPr>
        <w:t>%</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四、财政拨款收入支出预算总体情况说明</w:t>
      </w:r>
    </w:p>
    <w:p>
      <w:pPr>
        <w:spacing w:line="600" w:lineRule="exact"/>
        <w:ind w:firstLine="640" w:firstLineChars="200"/>
        <w:rPr>
          <w:rFonts w:hint="eastAsia" w:ascii="仿宋" w:hAnsi="仿宋" w:eastAsia="仿宋"/>
          <w:sz w:val="32"/>
          <w:szCs w:val="32"/>
        </w:rPr>
      </w:pPr>
      <w:r>
        <w:rPr>
          <w:rFonts w:hint="eastAsia" w:ascii="仿宋" w:hAnsi="仿宋" w:eastAsia="仿宋" w:cs="仿宋_GB2312"/>
          <w:sz w:val="32"/>
          <w:szCs w:val="32"/>
        </w:rPr>
        <w:t>驻马店市</w:t>
      </w:r>
      <w:r>
        <w:rPr>
          <w:rFonts w:hint="eastAsia" w:ascii="仿宋" w:hAnsi="仿宋" w:eastAsia="仿宋" w:cs="仿宋_GB2312"/>
          <w:sz w:val="32"/>
          <w:szCs w:val="32"/>
          <w:lang w:val="en-US" w:eastAsia="zh-CN"/>
        </w:rPr>
        <w:t>供销合作社</w:t>
      </w:r>
      <w:r>
        <w:rPr>
          <w:rFonts w:hint="eastAsia" w:ascii="仿宋" w:hAnsi="仿宋" w:eastAsia="仿宋" w:cs="仿宋_GB2312"/>
          <w:sz w:val="32"/>
          <w:szCs w:val="32"/>
          <w:lang w:eastAsia="zh-CN"/>
        </w:rPr>
        <w:t>2024</w:t>
      </w:r>
      <w:r>
        <w:rPr>
          <w:rFonts w:hint="eastAsia" w:ascii="仿宋" w:hAnsi="仿宋" w:eastAsia="仿宋" w:cs="仿宋_GB2312"/>
          <w:color w:val="000000"/>
          <w:sz w:val="32"/>
          <w:szCs w:val="32"/>
        </w:rPr>
        <w:t>年一般公共预算收支预算</w:t>
      </w:r>
      <w:r>
        <w:rPr>
          <w:rFonts w:hint="eastAsia" w:ascii="仿宋" w:hAnsi="仿宋" w:eastAsia="仿宋" w:cs="仿宋_GB2312"/>
          <w:color w:val="000000"/>
          <w:sz w:val="32"/>
          <w:szCs w:val="32"/>
          <w:lang w:val="en-US" w:eastAsia="zh-CN"/>
        </w:rPr>
        <w:t>821.27</w:t>
      </w:r>
      <w:r>
        <w:rPr>
          <w:rFonts w:hint="eastAsia" w:ascii="仿宋" w:hAnsi="仿宋" w:eastAsia="仿宋" w:cs="仿宋_GB2312"/>
          <w:color w:val="000000"/>
          <w:sz w:val="32"/>
          <w:szCs w:val="32"/>
        </w:rPr>
        <w:t>万元。</w:t>
      </w:r>
      <w:r>
        <w:rPr>
          <w:rFonts w:hint="eastAsia" w:ascii="仿宋" w:hAnsi="仿宋" w:eastAsia="仿宋"/>
          <w:sz w:val="32"/>
          <w:szCs w:val="32"/>
        </w:rPr>
        <w:t>与</w:t>
      </w:r>
      <w:r>
        <w:rPr>
          <w:rFonts w:hint="eastAsia" w:ascii="仿宋" w:hAnsi="仿宋" w:eastAsia="仿宋"/>
          <w:sz w:val="32"/>
          <w:szCs w:val="32"/>
          <w:lang w:eastAsia="zh-CN"/>
        </w:rPr>
        <w:t>202</w:t>
      </w:r>
      <w:r>
        <w:rPr>
          <w:rFonts w:hint="eastAsia" w:ascii="仿宋" w:hAnsi="仿宋" w:eastAsia="仿宋"/>
          <w:sz w:val="32"/>
          <w:szCs w:val="32"/>
          <w:lang w:val="en-US" w:eastAsia="zh-CN"/>
        </w:rPr>
        <w:t>3</w:t>
      </w:r>
      <w:r>
        <w:rPr>
          <w:rFonts w:hint="eastAsia" w:ascii="仿宋" w:hAnsi="仿宋" w:eastAsia="仿宋"/>
          <w:sz w:val="32"/>
          <w:szCs w:val="32"/>
        </w:rPr>
        <w:t>年相比，一般公共预算收支预算增加73.6万元，上升9.84%。主要原因：一是在职人员新录用、正常晋级晋档、基础绩效、住房公积金调整等的工资浮动；二是离休人员离休费、退休人员部分退休费和各类社保缴费支出的正常增长，导致较上一年度有所增长。</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五、一般公共预算支出预算情况说明</w:t>
      </w:r>
    </w:p>
    <w:p>
      <w:pPr>
        <w:spacing w:line="600" w:lineRule="exact"/>
        <w:ind w:firstLine="640" w:firstLineChars="200"/>
        <w:jc w:val="left"/>
        <w:rPr>
          <w:rFonts w:ascii="仿宋" w:hAnsi="仿宋" w:eastAsia="仿宋" w:cs="Times New Roman"/>
          <w:color w:val="000000"/>
          <w:sz w:val="32"/>
          <w:szCs w:val="32"/>
        </w:rPr>
      </w:pPr>
      <w:r>
        <w:rPr>
          <w:rFonts w:hint="eastAsia" w:ascii="仿宋" w:hAnsi="仿宋" w:eastAsia="仿宋" w:cs="仿宋_GB2312"/>
          <w:color w:val="333333"/>
          <w:sz w:val="32"/>
          <w:szCs w:val="32"/>
        </w:rPr>
        <w:t>驻马店市</w:t>
      </w:r>
      <w:r>
        <w:rPr>
          <w:rFonts w:hint="eastAsia" w:ascii="仿宋" w:hAnsi="仿宋" w:eastAsia="仿宋" w:cs="仿宋_GB2312"/>
          <w:color w:val="333333"/>
          <w:sz w:val="32"/>
          <w:szCs w:val="32"/>
          <w:lang w:val="en-US" w:eastAsia="zh-CN"/>
        </w:rPr>
        <w:t>供销合作社</w:t>
      </w:r>
      <w:r>
        <w:rPr>
          <w:rFonts w:hint="eastAsia" w:ascii="仿宋" w:hAnsi="仿宋" w:eastAsia="仿宋" w:cs="仿宋_GB2312"/>
          <w:color w:val="333333"/>
          <w:sz w:val="32"/>
          <w:szCs w:val="32"/>
          <w:lang w:eastAsia="zh-CN"/>
        </w:rPr>
        <w:t>2024</w:t>
      </w:r>
      <w:r>
        <w:rPr>
          <w:rFonts w:hint="eastAsia" w:ascii="仿宋" w:hAnsi="仿宋" w:eastAsia="仿宋" w:cs="仿宋_GB2312"/>
          <w:color w:val="333333"/>
          <w:sz w:val="32"/>
          <w:szCs w:val="32"/>
        </w:rPr>
        <w:t>年一般公共预算支出年初预算为</w:t>
      </w:r>
      <w:r>
        <w:rPr>
          <w:rFonts w:hint="eastAsia" w:ascii="仿宋" w:hAnsi="仿宋" w:eastAsia="仿宋" w:cs="仿宋_GB2312"/>
          <w:color w:val="000000"/>
          <w:sz w:val="32"/>
          <w:szCs w:val="32"/>
          <w:lang w:val="en-US" w:eastAsia="zh-CN"/>
        </w:rPr>
        <w:t>821.27</w:t>
      </w:r>
      <w:r>
        <w:rPr>
          <w:rFonts w:hint="eastAsia" w:ascii="仿宋" w:hAnsi="仿宋" w:eastAsia="仿宋" w:cs="仿宋_GB2312"/>
          <w:color w:val="000000"/>
          <w:sz w:val="32"/>
          <w:szCs w:val="32"/>
        </w:rPr>
        <w:t>万元。主要用于以下方面：社会保障和就业支出</w:t>
      </w:r>
      <w:r>
        <w:rPr>
          <w:rFonts w:hint="eastAsia" w:ascii="仿宋" w:hAnsi="仿宋" w:eastAsia="仿宋" w:cs="仿宋_GB2312"/>
          <w:color w:val="000000"/>
          <w:sz w:val="32"/>
          <w:szCs w:val="32"/>
          <w:lang w:val="en-US" w:eastAsia="zh-CN"/>
        </w:rPr>
        <w:t>248.33</w:t>
      </w:r>
      <w:r>
        <w:rPr>
          <w:rFonts w:hint="eastAsia" w:ascii="仿宋" w:hAnsi="仿宋" w:eastAsia="仿宋" w:cs="仿宋_GB2312"/>
          <w:color w:val="000000"/>
          <w:sz w:val="32"/>
          <w:szCs w:val="32"/>
        </w:rPr>
        <w:t>万元，占</w:t>
      </w:r>
      <w:r>
        <w:rPr>
          <w:rFonts w:hint="eastAsia" w:ascii="仿宋" w:hAnsi="仿宋" w:eastAsia="仿宋" w:cs="仿宋_GB2312"/>
          <w:color w:val="000000"/>
          <w:sz w:val="32"/>
          <w:szCs w:val="32"/>
          <w:lang w:val="en-US" w:eastAsia="zh-CN"/>
        </w:rPr>
        <w:t>30.24</w:t>
      </w:r>
      <w:r>
        <w:rPr>
          <w:rFonts w:ascii="仿宋" w:hAnsi="仿宋" w:eastAsia="仿宋" w:cs="仿宋_GB2312"/>
          <w:color w:val="000000"/>
          <w:sz w:val="32"/>
          <w:szCs w:val="32"/>
        </w:rPr>
        <w:t>%</w:t>
      </w:r>
      <w:r>
        <w:rPr>
          <w:rFonts w:hint="eastAsia" w:ascii="仿宋" w:hAnsi="仿宋" w:eastAsia="仿宋" w:cs="仿宋_GB2312"/>
          <w:color w:val="000000"/>
          <w:sz w:val="32"/>
          <w:szCs w:val="32"/>
        </w:rPr>
        <w:t>；卫生健康支出</w:t>
      </w:r>
      <w:r>
        <w:rPr>
          <w:rFonts w:hint="eastAsia" w:ascii="仿宋" w:hAnsi="仿宋" w:eastAsia="仿宋" w:cs="仿宋_GB2312"/>
          <w:color w:val="000000"/>
          <w:sz w:val="32"/>
          <w:szCs w:val="32"/>
          <w:lang w:val="en-US" w:eastAsia="zh-CN"/>
        </w:rPr>
        <w:t>61.99</w:t>
      </w:r>
      <w:r>
        <w:rPr>
          <w:rFonts w:hint="eastAsia" w:ascii="仿宋" w:hAnsi="仿宋" w:eastAsia="仿宋" w:cs="仿宋_GB2312"/>
          <w:color w:val="000000"/>
          <w:sz w:val="32"/>
          <w:szCs w:val="32"/>
        </w:rPr>
        <w:t>万元，占</w:t>
      </w:r>
      <w:r>
        <w:rPr>
          <w:rFonts w:hint="eastAsia" w:ascii="仿宋" w:hAnsi="仿宋" w:eastAsia="仿宋" w:cs="仿宋_GB2312"/>
          <w:color w:val="000000"/>
          <w:sz w:val="32"/>
          <w:szCs w:val="32"/>
          <w:lang w:val="en-US" w:eastAsia="zh-CN"/>
        </w:rPr>
        <w:t>7.55</w:t>
      </w:r>
      <w:r>
        <w:rPr>
          <w:rFonts w:ascii="仿宋" w:hAnsi="仿宋" w:eastAsia="仿宋" w:cs="仿宋_GB2312"/>
          <w:color w:val="000000"/>
          <w:sz w:val="32"/>
          <w:szCs w:val="32"/>
        </w:rPr>
        <w:t>%</w:t>
      </w:r>
      <w:r>
        <w:rPr>
          <w:rFonts w:hint="eastAsia" w:ascii="仿宋" w:hAnsi="仿宋" w:eastAsia="仿宋" w:cs="仿宋_GB2312"/>
          <w:color w:val="000000"/>
          <w:sz w:val="32"/>
          <w:szCs w:val="32"/>
        </w:rPr>
        <w:t>；商业服务业等支出</w:t>
      </w:r>
      <w:r>
        <w:rPr>
          <w:rFonts w:hint="eastAsia" w:ascii="仿宋" w:hAnsi="仿宋" w:eastAsia="仿宋" w:cs="仿宋_GB2312"/>
          <w:color w:val="000000"/>
          <w:sz w:val="32"/>
          <w:szCs w:val="32"/>
          <w:lang w:val="en-US" w:eastAsia="zh-CN"/>
        </w:rPr>
        <w:t>468.49，</w:t>
      </w:r>
      <w:r>
        <w:rPr>
          <w:rFonts w:hint="eastAsia" w:ascii="仿宋" w:hAnsi="仿宋" w:eastAsia="仿宋" w:cs="仿宋_GB2312"/>
          <w:color w:val="000000"/>
          <w:sz w:val="32"/>
          <w:szCs w:val="32"/>
        </w:rPr>
        <w:t>占</w:t>
      </w:r>
      <w:r>
        <w:rPr>
          <w:rFonts w:hint="eastAsia" w:ascii="仿宋" w:hAnsi="仿宋" w:eastAsia="仿宋" w:cs="仿宋_GB2312"/>
          <w:color w:val="000000"/>
          <w:sz w:val="32"/>
          <w:szCs w:val="32"/>
          <w:lang w:val="en-US" w:eastAsia="zh-CN"/>
        </w:rPr>
        <w:t>57.05</w:t>
      </w:r>
      <w:r>
        <w:rPr>
          <w:rFonts w:ascii="仿宋" w:hAnsi="仿宋" w:eastAsia="仿宋" w:cs="仿宋_GB2312"/>
          <w:color w:val="000000"/>
          <w:sz w:val="32"/>
          <w:szCs w:val="32"/>
        </w:rPr>
        <w:t>%</w:t>
      </w:r>
      <w:r>
        <w:rPr>
          <w:rFonts w:hint="eastAsia" w:ascii="仿宋" w:hAnsi="仿宋" w:eastAsia="仿宋" w:cs="仿宋_GB2312"/>
          <w:color w:val="000000"/>
          <w:sz w:val="32"/>
          <w:szCs w:val="32"/>
        </w:rPr>
        <w:t>；住房保障支出</w:t>
      </w:r>
      <w:r>
        <w:rPr>
          <w:rFonts w:hint="eastAsia" w:ascii="仿宋" w:hAnsi="仿宋" w:eastAsia="仿宋" w:cs="仿宋_GB2312"/>
          <w:color w:val="000000"/>
          <w:sz w:val="32"/>
          <w:szCs w:val="32"/>
          <w:lang w:val="en-US" w:eastAsia="zh-CN"/>
        </w:rPr>
        <w:t>42.46</w:t>
      </w:r>
      <w:r>
        <w:rPr>
          <w:rFonts w:hint="eastAsia" w:ascii="仿宋" w:hAnsi="仿宋" w:eastAsia="仿宋" w:cs="仿宋_GB2312"/>
          <w:color w:val="000000"/>
          <w:sz w:val="32"/>
          <w:szCs w:val="32"/>
        </w:rPr>
        <w:t>万元，占</w:t>
      </w:r>
      <w:r>
        <w:rPr>
          <w:rFonts w:hint="eastAsia" w:ascii="仿宋" w:hAnsi="仿宋" w:eastAsia="仿宋" w:cs="仿宋_GB2312"/>
          <w:color w:val="000000"/>
          <w:sz w:val="32"/>
          <w:szCs w:val="32"/>
          <w:lang w:val="en-US" w:eastAsia="zh-CN"/>
        </w:rPr>
        <w:t>5.2</w:t>
      </w:r>
      <w:r>
        <w:rPr>
          <w:rFonts w:ascii="仿宋" w:hAnsi="仿宋" w:eastAsia="仿宋" w:cs="仿宋_GB2312"/>
          <w:color w:val="000000"/>
          <w:sz w:val="32"/>
          <w:szCs w:val="32"/>
        </w:rPr>
        <w:t>%</w:t>
      </w:r>
      <w:r>
        <w:rPr>
          <w:rFonts w:hint="eastAsia" w:ascii="仿宋" w:hAnsi="仿宋" w:eastAsia="仿宋" w:cs="仿宋_GB2312"/>
          <w:color w:val="000000"/>
          <w:sz w:val="32"/>
          <w:szCs w:val="32"/>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六、一般公共预算基本支出预算情况说明和支出预算经济分类情况说明</w:t>
      </w:r>
    </w:p>
    <w:p>
      <w:pPr>
        <w:spacing w:line="600" w:lineRule="exact"/>
        <w:ind w:firstLine="640" w:firstLineChars="200"/>
        <w:rPr>
          <w:rFonts w:ascii="黑体" w:hAnsi="黑体" w:eastAsia="黑体"/>
          <w:sz w:val="32"/>
          <w:szCs w:val="32"/>
        </w:rPr>
      </w:pPr>
      <w:r>
        <w:rPr>
          <w:rFonts w:hint="eastAsia" w:eastAsia="仿宋"/>
          <w:sz w:val="32"/>
          <w:szCs w:val="32"/>
        </w:rPr>
        <w:t> </w:t>
      </w:r>
      <w:r>
        <w:rPr>
          <w:rFonts w:hint="eastAsia" w:ascii="仿宋" w:hAnsi="仿宋" w:eastAsia="仿宋"/>
          <w:sz w:val="32"/>
          <w:szCs w:val="32"/>
          <w:lang w:eastAsia="zh-CN"/>
        </w:rPr>
        <w:t>2024</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797.87</w:t>
      </w:r>
      <w:r>
        <w:rPr>
          <w:rFonts w:hint="eastAsia" w:ascii="仿宋" w:hAnsi="仿宋" w:eastAsia="仿宋"/>
          <w:sz w:val="32"/>
          <w:szCs w:val="32"/>
        </w:rPr>
        <w:t>万元，其中：人员经费</w:t>
      </w:r>
      <w:r>
        <w:rPr>
          <w:rFonts w:hint="eastAsia" w:ascii="仿宋" w:hAnsi="仿宋" w:eastAsia="仿宋"/>
          <w:sz w:val="32"/>
          <w:szCs w:val="32"/>
          <w:lang w:val="en-US" w:eastAsia="zh-CN"/>
        </w:rPr>
        <w:t>737.78</w:t>
      </w:r>
      <w:r>
        <w:rPr>
          <w:rFonts w:hint="eastAsia" w:ascii="仿宋" w:hAnsi="仿宋" w:eastAsia="仿宋"/>
          <w:sz w:val="32"/>
          <w:szCs w:val="32"/>
        </w:rPr>
        <w:t>万元，主要包括：基本工资、津贴补贴、奖金、其他社会保障缴费、机关事业单位基本养老保险缴费、职业年金缴费、其他工资福利支出、离休费、退休费、生活补助、住房公积金、采暖补贴、物业服务补贴、其他对个人和家庭的补助支出；公用经费</w:t>
      </w:r>
      <w:r>
        <w:rPr>
          <w:rFonts w:hint="eastAsia" w:ascii="仿宋" w:hAnsi="仿宋" w:eastAsia="仿宋"/>
          <w:sz w:val="32"/>
          <w:szCs w:val="32"/>
          <w:lang w:val="en-US" w:eastAsia="zh-CN"/>
        </w:rPr>
        <w:t>60.69</w:t>
      </w:r>
      <w:r>
        <w:rPr>
          <w:rFonts w:hint="eastAsia" w:ascii="仿宋" w:hAnsi="仿宋" w:eastAsia="仿宋"/>
          <w:sz w:val="32"/>
          <w:szCs w:val="32"/>
        </w:rPr>
        <w:t>万元，主要包括：办公费、取暖费、差旅费、会议费、培训费、公务接待费、工会经费、福利费、公务用车运行维护费、其他交通费用、其他商品和服务支出。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部门《支出经济分类汇总表》由上年仅反映一般公共预算基本支出经济分类科目预算，调整为按两套经济分类科目分别反映不同资金来源的全部预算支出。</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七、政府性基金预算支出</w:t>
      </w:r>
      <w:r>
        <w:rPr>
          <w:rFonts w:hint="eastAsia" w:ascii="黑体" w:hAnsi="黑体" w:eastAsia="黑体"/>
          <w:sz w:val="32"/>
          <w:szCs w:val="32"/>
          <w:lang w:eastAsia="zh-CN"/>
        </w:rPr>
        <w:t>预</w:t>
      </w:r>
      <w:r>
        <w:rPr>
          <w:rFonts w:hint="eastAsia" w:ascii="黑体" w:hAnsi="黑体" w:eastAsia="黑体"/>
          <w:sz w:val="32"/>
          <w:szCs w:val="32"/>
        </w:rPr>
        <w:t>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w:t>
      </w:r>
      <w:r>
        <w:rPr>
          <w:rFonts w:hint="eastAsia" w:ascii="仿宋" w:hAnsi="仿宋" w:eastAsia="仿宋"/>
          <w:sz w:val="32"/>
          <w:szCs w:val="32"/>
          <w:lang w:val="en-US" w:eastAsia="zh-CN"/>
        </w:rPr>
        <w:t>部门</w:t>
      </w:r>
      <w:r>
        <w:rPr>
          <w:rFonts w:hint="eastAsia" w:ascii="仿宋" w:hAnsi="仿宋" w:eastAsia="仿宋"/>
          <w:sz w:val="32"/>
          <w:szCs w:val="32"/>
          <w:lang w:eastAsia="zh-CN"/>
        </w:rPr>
        <w:t>2024</w:t>
      </w:r>
      <w:r>
        <w:rPr>
          <w:rFonts w:hint="eastAsia" w:ascii="仿宋" w:hAnsi="仿宋" w:eastAsia="仿宋"/>
          <w:sz w:val="32"/>
          <w:szCs w:val="32"/>
        </w:rPr>
        <w:t>年无使用政府性基金预算拨款安排的支出。</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八、“三公”经费支出预算情况说明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w:t>
      </w:r>
      <w:r>
        <w:rPr>
          <w:rFonts w:hint="eastAsia" w:ascii="仿宋" w:hAnsi="仿宋" w:eastAsia="仿宋"/>
          <w:sz w:val="32"/>
          <w:szCs w:val="32"/>
          <w:lang w:eastAsia="zh-CN"/>
        </w:rPr>
        <w:t>部门2024</w:t>
      </w:r>
      <w:r>
        <w:rPr>
          <w:rFonts w:hint="eastAsia" w:ascii="仿宋" w:hAnsi="仿宋" w:eastAsia="仿宋"/>
          <w:sz w:val="32"/>
          <w:szCs w:val="32"/>
        </w:rPr>
        <w:t>年“三公”经费预算为</w:t>
      </w:r>
      <w:r>
        <w:rPr>
          <w:rFonts w:hint="eastAsia" w:ascii="仿宋" w:hAnsi="仿宋" w:eastAsia="仿宋"/>
          <w:sz w:val="32"/>
          <w:szCs w:val="32"/>
          <w:lang w:val="en-US" w:eastAsia="zh-CN"/>
        </w:rPr>
        <w:t>2.6</w:t>
      </w:r>
      <w:r>
        <w:rPr>
          <w:rFonts w:hint="eastAsia" w:ascii="仿宋" w:hAnsi="仿宋" w:eastAsia="仿宋"/>
          <w:sz w:val="32"/>
          <w:szCs w:val="32"/>
        </w:rPr>
        <w:t>万元。</w:t>
      </w:r>
      <w:r>
        <w:rPr>
          <w:rFonts w:hint="eastAsia" w:ascii="仿宋" w:hAnsi="仿宋" w:eastAsia="仿宋"/>
          <w:sz w:val="32"/>
          <w:szCs w:val="32"/>
          <w:lang w:eastAsia="zh-CN"/>
        </w:rPr>
        <w:t>2024</w:t>
      </w:r>
      <w:r>
        <w:rPr>
          <w:rFonts w:hint="eastAsia" w:ascii="仿宋" w:hAnsi="仿宋" w:eastAsia="仿宋"/>
          <w:sz w:val="32"/>
          <w:szCs w:val="32"/>
        </w:rPr>
        <w:t>年“三公”经费支出预算数比</w:t>
      </w:r>
      <w:r>
        <w:rPr>
          <w:rFonts w:hint="eastAsia" w:ascii="仿宋" w:hAnsi="仿宋" w:eastAsia="仿宋"/>
          <w:sz w:val="32"/>
          <w:szCs w:val="32"/>
          <w:lang w:eastAsia="zh-CN"/>
        </w:rPr>
        <w:t>202</w:t>
      </w:r>
      <w:r>
        <w:rPr>
          <w:rFonts w:hint="eastAsia" w:ascii="仿宋" w:hAnsi="仿宋" w:eastAsia="仿宋"/>
          <w:sz w:val="32"/>
          <w:szCs w:val="32"/>
          <w:lang w:val="en-US" w:eastAsia="zh-CN"/>
        </w:rPr>
        <w:t>3</w:t>
      </w:r>
      <w:r>
        <w:rPr>
          <w:rFonts w:hint="eastAsia" w:ascii="仿宋" w:hAnsi="仿宋" w:eastAsia="仿宋"/>
          <w:sz w:val="32"/>
          <w:szCs w:val="32"/>
        </w:rPr>
        <w:t>年减少</w:t>
      </w:r>
      <w:r>
        <w:rPr>
          <w:rFonts w:hint="eastAsia" w:ascii="仿宋" w:hAnsi="仿宋" w:eastAsia="仿宋"/>
          <w:sz w:val="32"/>
          <w:szCs w:val="32"/>
          <w:lang w:val="en-US" w:eastAsia="zh-CN"/>
        </w:rPr>
        <w:t>1.4</w:t>
      </w:r>
      <w:r>
        <w:rPr>
          <w:rFonts w:hint="eastAsia" w:ascii="仿宋" w:hAnsi="仿宋" w:eastAsia="仿宋"/>
          <w:sz w:val="32"/>
          <w:szCs w:val="32"/>
        </w:rPr>
        <w:t>万元，下降了</w:t>
      </w:r>
      <w:r>
        <w:rPr>
          <w:rFonts w:hint="eastAsia" w:ascii="仿宋" w:hAnsi="仿宋" w:eastAsia="仿宋"/>
          <w:sz w:val="32"/>
          <w:szCs w:val="32"/>
          <w:lang w:val="en-US" w:eastAsia="zh-CN"/>
        </w:rPr>
        <w:t>35</w:t>
      </w:r>
      <w:r>
        <w:rPr>
          <w:rFonts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lang w:val="en-US" w:eastAsia="zh-CN"/>
        </w:rPr>
        <w:t>主要原因是：本年编制预算时，误将公务接待费预算填入培训费，导致公务接待费预算为0。</w:t>
      </w:r>
      <w:r>
        <w:rPr>
          <w:rFonts w:hint="eastAsia" w:ascii="仿宋" w:hAnsi="仿宋" w:eastAsia="仿宋"/>
          <w:sz w:val="32"/>
          <w:szCs w:val="32"/>
        </w:rPr>
        <w:t xml:space="preserve">     </w:t>
      </w:r>
    </w:p>
    <w:p>
      <w:pPr>
        <w:spacing w:line="600" w:lineRule="exact"/>
        <w:ind w:firstLine="643" w:firstLineChars="200"/>
        <w:rPr>
          <w:rFonts w:ascii="仿宋" w:hAnsi="仿宋" w:eastAsia="仿宋"/>
          <w:sz w:val="32"/>
          <w:szCs w:val="32"/>
        </w:rPr>
      </w:pPr>
      <w:r>
        <w:rPr>
          <w:rFonts w:hint="eastAsia" w:ascii="仿宋" w:hAnsi="仿宋" w:eastAsia="仿宋"/>
          <w:b/>
          <w:sz w:val="32"/>
          <w:szCs w:val="32"/>
        </w:rPr>
        <w:t>（一）因公出国</w:t>
      </w:r>
      <w:r>
        <w:rPr>
          <w:rFonts w:ascii="仿宋" w:hAnsi="仿宋" w:eastAsia="仿宋"/>
          <w:b/>
          <w:sz w:val="32"/>
          <w:szCs w:val="32"/>
        </w:rPr>
        <w:t>(</w:t>
      </w:r>
      <w:r>
        <w:rPr>
          <w:rFonts w:hint="eastAsia" w:ascii="仿宋" w:hAnsi="仿宋" w:eastAsia="仿宋"/>
          <w:b/>
          <w:sz w:val="32"/>
          <w:szCs w:val="32"/>
        </w:rPr>
        <w:t>境</w:t>
      </w:r>
      <w:r>
        <w:rPr>
          <w:rFonts w:ascii="仿宋" w:hAnsi="仿宋" w:eastAsia="仿宋"/>
          <w:b/>
          <w:sz w:val="32"/>
          <w:szCs w:val="32"/>
        </w:rPr>
        <w:t>)</w:t>
      </w:r>
      <w:r>
        <w:rPr>
          <w:rFonts w:hint="eastAsia" w:ascii="仿宋" w:hAnsi="仿宋" w:eastAsia="仿宋"/>
          <w:b/>
          <w:sz w:val="32"/>
          <w:szCs w:val="32"/>
        </w:rPr>
        <w:t>费</w:t>
      </w:r>
      <w:r>
        <w:rPr>
          <w:rFonts w:hint="eastAsia" w:ascii="仿宋" w:hAnsi="仿宋" w:eastAsia="仿宋"/>
          <w:b/>
          <w:sz w:val="32"/>
          <w:szCs w:val="32"/>
          <w:lang w:val="en-US" w:eastAsia="zh-CN"/>
        </w:rPr>
        <w:t>0</w:t>
      </w:r>
      <w:r>
        <w:rPr>
          <w:rFonts w:hint="eastAsia" w:ascii="仿宋" w:hAnsi="仿宋" w:eastAsia="仿宋"/>
          <w:b/>
          <w:sz w:val="32"/>
          <w:szCs w:val="32"/>
        </w:rPr>
        <w:t>万元，</w:t>
      </w:r>
      <w:r>
        <w:rPr>
          <w:rFonts w:hint="eastAsia" w:ascii="仿宋" w:hAnsi="仿宋" w:eastAsia="仿宋"/>
          <w:sz w:val="32"/>
          <w:szCs w:val="32"/>
        </w:rPr>
        <w:t>主要用于单位工作人员公务出国（境）的住宿费、旅费、伙食补助费、杂费、培训费等支出。我</w:t>
      </w:r>
      <w:r>
        <w:rPr>
          <w:rFonts w:hint="eastAsia" w:ascii="仿宋" w:hAnsi="仿宋" w:eastAsia="仿宋"/>
          <w:sz w:val="32"/>
          <w:szCs w:val="32"/>
          <w:lang w:eastAsia="zh-CN"/>
        </w:rPr>
        <w:t>部门2024</w:t>
      </w:r>
      <w:r>
        <w:rPr>
          <w:rFonts w:hint="eastAsia" w:ascii="仿宋" w:hAnsi="仿宋" w:eastAsia="仿宋"/>
          <w:sz w:val="32"/>
          <w:szCs w:val="32"/>
        </w:rPr>
        <w:t>年没有安排因公出国（境）费用的收入和支出预算。</w:t>
      </w:r>
    </w:p>
    <w:p>
      <w:pPr>
        <w:spacing w:line="600" w:lineRule="exact"/>
        <w:ind w:firstLine="643" w:firstLineChars="200"/>
        <w:rPr>
          <w:rFonts w:ascii="仿宋" w:hAnsi="仿宋" w:eastAsia="仿宋"/>
          <w:sz w:val="32"/>
          <w:szCs w:val="32"/>
        </w:rPr>
      </w:pPr>
      <w:r>
        <w:rPr>
          <w:rFonts w:hint="eastAsia" w:ascii="仿宋" w:hAnsi="仿宋" w:eastAsia="仿宋"/>
          <w:b/>
          <w:sz w:val="32"/>
          <w:szCs w:val="32"/>
        </w:rPr>
        <w:t>（二）公务用车购置及运行费</w:t>
      </w:r>
      <w:r>
        <w:rPr>
          <w:rFonts w:hint="eastAsia" w:ascii="仿宋" w:hAnsi="仿宋" w:eastAsia="仿宋"/>
          <w:b/>
          <w:sz w:val="32"/>
          <w:szCs w:val="32"/>
          <w:lang w:val="en-US" w:eastAsia="zh-CN"/>
        </w:rPr>
        <w:t>2.6</w:t>
      </w:r>
      <w:r>
        <w:rPr>
          <w:rFonts w:hint="eastAsia" w:ascii="仿宋" w:hAnsi="仿宋" w:eastAsia="仿宋"/>
          <w:b/>
          <w:sz w:val="32"/>
          <w:szCs w:val="32"/>
        </w:rPr>
        <w:t>万元</w:t>
      </w:r>
      <w:r>
        <w:rPr>
          <w:rFonts w:hint="eastAsia" w:ascii="仿宋" w:hAnsi="仿宋" w:eastAsia="仿宋"/>
          <w:sz w:val="32"/>
          <w:szCs w:val="32"/>
        </w:rPr>
        <w:t>，主要用于开展工作所需公务用车的燃料费、维修费、过路过桥费、保险费、安全奖励费用等支出。公务用车运行维护费预算</w:t>
      </w:r>
      <w:r>
        <w:rPr>
          <w:rFonts w:hint="eastAsia" w:ascii="仿宋" w:hAnsi="仿宋" w:eastAsia="仿宋"/>
          <w:sz w:val="32"/>
          <w:szCs w:val="32"/>
          <w:lang w:eastAsia="zh-CN"/>
        </w:rPr>
        <w:t>为</w:t>
      </w:r>
      <w:r>
        <w:rPr>
          <w:rFonts w:hint="eastAsia" w:ascii="仿宋" w:hAnsi="仿宋" w:eastAsia="仿宋"/>
          <w:sz w:val="32"/>
          <w:szCs w:val="32"/>
          <w:lang w:val="en-US" w:eastAsia="zh-CN"/>
        </w:rPr>
        <w:t>2.6万元，</w:t>
      </w:r>
      <w:r>
        <w:rPr>
          <w:rFonts w:hint="eastAsia" w:ascii="仿宋" w:hAnsi="仿宋" w:eastAsia="仿宋"/>
          <w:sz w:val="32"/>
          <w:szCs w:val="32"/>
        </w:rPr>
        <w:t>比</w:t>
      </w:r>
      <w:r>
        <w:rPr>
          <w:rFonts w:hint="eastAsia" w:ascii="仿宋" w:hAnsi="仿宋" w:eastAsia="仿宋"/>
          <w:sz w:val="32"/>
          <w:szCs w:val="32"/>
          <w:lang w:eastAsia="zh-CN"/>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无变动</w:t>
      </w:r>
      <w:r>
        <w:rPr>
          <w:rFonts w:hint="eastAsia" w:ascii="仿宋" w:hAnsi="仿宋" w:eastAsia="仿宋"/>
          <w:sz w:val="32"/>
          <w:szCs w:val="32"/>
        </w:rPr>
        <w:t>。</w:t>
      </w:r>
    </w:p>
    <w:p>
      <w:pPr>
        <w:spacing w:line="600" w:lineRule="exact"/>
        <w:ind w:firstLine="643" w:firstLineChars="200"/>
        <w:rPr>
          <w:rFonts w:ascii="仿宋" w:hAnsi="仿宋" w:eastAsia="仿宋" w:cs="Times New Roman"/>
          <w:sz w:val="32"/>
          <w:szCs w:val="32"/>
        </w:rPr>
      </w:pPr>
      <w:r>
        <w:rPr>
          <w:rFonts w:hint="eastAsia" w:ascii="仿宋" w:hAnsi="仿宋" w:eastAsia="仿宋"/>
          <w:b/>
          <w:sz w:val="32"/>
          <w:szCs w:val="32"/>
        </w:rPr>
        <w:t>（三）公务接待费</w:t>
      </w:r>
      <w:r>
        <w:rPr>
          <w:rFonts w:hint="eastAsia" w:ascii="仿宋" w:hAnsi="仿宋" w:eastAsia="仿宋"/>
          <w:b/>
          <w:sz w:val="32"/>
          <w:szCs w:val="32"/>
          <w:lang w:val="en-US" w:eastAsia="zh-CN"/>
        </w:rPr>
        <w:t>0</w:t>
      </w:r>
      <w:r>
        <w:rPr>
          <w:rFonts w:hint="eastAsia" w:ascii="仿宋" w:hAnsi="仿宋" w:eastAsia="仿宋"/>
          <w:b/>
          <w:sz w:val="32"/>
          <w:szCs w:val="32"/>
        </w:rPr>
        <w:t>万元，</w:t>
      </w:r>
      <w:r>
        <w:rPr>
          <w:rFonts w:hint="eastAsia" w:ascii="仿宋" w:hAnsi="仿宋" w:eastAsia="仿宋"/>
          <w:sz w:val="32"/>
          <w:szCs w:val="32"/>
        </w:rPr>
        <w:t>主要用于按规定开支的各类公务接待支出。预算数比</w:t>
      </w:r>
      <w:r>
        <w:rPr>
          <w:rFonts w:hint="eastAsia" w:ascii="仿宋" w:hAnsi="仿宋" w:eastAsia="仿宋"/>
          <w:sz w:val="32"/>
          <w:szCs w:val="32"/>
          <w:lang w:eastAsia="zh-CN"/>
        </w:rPr>
        <w:t>202</w:t>
      </w:r>
      <w:r>
        <w:rPr>
          <w:rFonts w:hint="eastAsia" w:ascii="仿宋" w:hAnsi="仿宋" w:eastAsia="仿宋"/>
          <w:sz w:val="32"/>
          <w:szCs w:val="32"/>
          <w:lang w:val="en-US" w:eastAsia="zh-CN"/>
        </w:rPr>
        <w:t>3</w:t>
      </w:r>
      <w:r>
        <w:rPr>
          <w:rFonts w:hint="eastAsia" w:ascii="仿宋" w:hAnsi="仿宋" w:eastAsia="仿宋"/>
          <w:sz w:val="32"/>
          <w:szCs w:val="32"/>
        </w:rPr>
        <w:t>年减少</w:t>
      </w:r>
      <w:r>
        <w:rPr>
          <w:rFonts w:hint="eastAsia" w:ascii="仿宋" w:hAnsi="仿宋" w:eastAsia="仿宋"/>
          <w:sz w:val="32"/>
          <w:szCs w:val="32"/>
          <w:lang w:val="en-US" w:eastAsia="zh-CN"/>
        </w:rPr>
        <w:t>1.4</w:t>
      </w:r>
      <w:r>
        <w:rPr>
          <w:rFonts w:hint="eastAsia" w:ascii="仿宋" w:hAnsi="仿宋" w:eastAsia="仿宋"/>
          <w:sz w:val="32"/>
          <w:szCs w:val="32"/>
        </w:rPr>
        <w:t>万元，下降了</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仿宋_GB2312"/>
          <w:sz w:val="32"/>
          <w:szCs w:val="32"/>
        </w:rPr>
        <w:t>主要原因是</w:t>
      </w:r>
      <w:r>
        <w:rPr>
          <w:rFonts w:hint="eastAsia" w:ascii="仿宋" w:hAnsi="仿宋" w:eastAsia="仿宋" w:cs="仿宋_GB2312"/>
          <w:sz w:val="32"/>
          <w:szCs w:val="32"/>
          <w:lang w:eastAsia="zh-CN"/>
        </w:rPr>
        <w:t>：本年编制预算时，误将公务接待费预算填入培训费，导致公务接待费预算为0</w:t>
      </w:r>
      <w:r>
        <w:rPr>
          <w:rFonts w:hint="eastAsia" w:ascii="仿宋" w:hAnsi="仿宋" w:eastAsia="仿宋" w:cs="仿宋_GB2312"/>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九、其他重要事项的情况说明</w:t>
      </w:r>
    </w:p>
    <w:p>
      <w:pPr>
        <w:spacing w:line="600" w:lineRule="exact"/>
        <w:ind w:firstLine="643" w:firstLineChars="200"/>
        <w:rPr>
          <w:rFonts w:hint="eastAsia" w:ascii="仿宋" w:hAnsi="仿宋" w:eastAsia="仿宋"/>
          <w:b/>
          <w:sz w:val="32"/>
          <w:szCs w:val="32"/>
        </w:rPr>
      </w:pPr>
      <w:r>
        <w:rPr>
          <w:rFonts w:hint="eastAsia" w:ascii="仿宋" w:hAnsi="仿宋" w:eastAsia="仿宋"/>
          <w:b/>
          <w:sz w:val="32"/>
          <w:szCs w:val="32"/>
        </w:rPr>
        <w:t>（一）机关机构运转经费支出情况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驻马店市</w:t>
      </w:r>
      <w:r>
        <w:rPr>
          <w:rFonts w:hint="eastAsia" w:ascii="仿宋" w:hAnsi="仿宋" w:eastAsia="仿宋"/>
          <w:sz w:val="32"/>
          <w:szCs w:val="32"/>
          <w:lang w:val="en-US" w:eastAsia="zh-CN"/>
        </w:rPr>
        <w:t>供销合作社</w:t>
      </w:r>
      <w:r>
        <w:rPr>
          <w:rFonts w:hint="eastAsia" w:ascii="仿宋" w:hAnsi="仿宋" w:eastAsia="仿宋"/>
          <w:sz w:val="32"/>
          <w:szCs w:val="32"/>
          <w:lang w:eastAsia="zh-CN"/>
        </w:rPr>
        <w:t>2024</w:t>
      </w:r>
      <w:r>
        <w:rPr>
          <w:rFonts w:hint="eastAsia" w:ascii="仿宋" w:hAnsi="仿宋" w:eastAsia="仿宋"/>
          <w:sz w:val="32"/>
          <w:szCs w:val="32"/>
        </w:rPr>
        <w:t>年机关运行经费支出预算为</w:t>
      </w:r>
      <w:r>
        <w:rPr>
          <w:rFonts w:hint="eastAsia" w:ascii="仿宋" w:hAnsi="仿宋" w:eastAsia="仿宋"/>
          <w:sz w:val="32"/>
          <w:szCs w:val="32"/>
          <w:lang w:val="en-US" w:eastAsia="zh-CN"/>
        </w:rPr>
        <w:t>61.45</w:t>
      </w:r>
      <w:r>
        <w:rPr>
          <w:rFonts w:hint="eastAsia" w:ascii="仿宋" w:hAnsi="仿宋" w:eastAsia="仿宋"/>
          <w:sz w:val="32"/>
          <w:szCs w:val="32"/>
        </w:rPr>
        <w:t>万元，主要保障机构正常运转及政策履职需要。</w:t>
      </w:r>
    </w:p>
    <w:p>
      <w:pPr>
        <w:spacing w:line="600" w:lineRule="exact"/>
        <w:ind w:firstLine="630" w:firstLineChars="196"/>
        <w:rPr>
          <w:rFonts w:ascii="仿宋" w:hAnsi="仿宋" w:eastAsia="仿宋"/>
          <w:b/>
          <w:sz w:val="32"/>
          <w:szCs w:val="32"/>
        </w:rPr>
      </w:pPr>
      <w:r>
        <w:rPr>
          <w:rFonts w:hint="eastAsia" w:ascii="仿宋" w:hAnsi="仿宋" w:eastAsia="仿宋"/>
          <w:b/>
          <w:sz w:val="32"/>
          <w:szCs w:val="32"/>
        </w:rPr>
        <w:t>（二）政府采购支出情况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2024</w:t>
      </w:r>
      <w:r>
        <w:rPr>
          <w:rFonts w:hint="eastAsia" w:ascii="仿宋" w:hAnsi="仿宋" w:eastAsia="仿宋"/>
          <w:sz w:val="32"/>
          <w:szCs w:val="32"/>
        </w:rPr>
        <w:t>年政府采购预算安排</w:t>
      </w:r>
      <w:r>
        <w:rPr>
          <w:rFonts w:hint="eastAsia" w:ascii="仿宋" w:hAnsi="仿宋" w:eastAsia="仿宋"/>
          <w:sz w:val="32"/>
          <w:szCs w:val="32"/>
          <w:lang w:val="en-US" w:eastAsia="zh-CN"/>
        </w:rPr>
        <w:t>7</w:t>
      </w:r>
      <w:r>
        <w:rPr>
          <w:rFonts w:hint="eastAsia" w:ascii="仿宋" w:hAnsi="仿宋" w:eastAsia="仿宋"/>
          <w:sz w:val="32"/>
          <w:szCs w:val="32"/>
        </w:rPr>
        <w:t>万元，其中：政府采购货物预算</w:t>
      </w:r>
      <w:r>
        <w:rPr>
          <w:rFonts w:hint="eastAsia" w:ascii="仿宋" w:hAnsi="仿宋" w:eastAsia="仿宋"/>
          <w:sz w:val="32"/>
          <w:szCs w:val="32"/>
          <w:lang w:val="en-US" w:eastAsia="zh-CN"/>
        </w:rPr>
        <w:t>7</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pPr>
        <w:spacing w:line="600" w:lineRule="exact"/>
        <w:ind w:firstLine="630" w:firstLineChars="196"/>
        <w:rPr>
          <w:rFonts w:ascii="仿宋" w:hAnsi="仿宋" w:eastAsia="仿宋"/>
          <w:b/>
          <w:sz w:val="32"/>
          <w:szCs w:val="32"/>
        </w:rPr>
      </w:pPr>
      <w:r>
        <w:rPr>
          <w:rFonts w:hint="eastAsia" w:ascii="仿宋" w:hAnsi="仿宋" w:eastAsia="仿宋"/>
          <w:b/>
          <w:sz w:val="32"/>
          <w:szCs w:val="32"/>
        </w:rPr>
        <w:t>（三）绩效目标设置情况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我</w:t>
      </w:r>
      <w:r>
        <w:rPr>
          <w:rFonts w:hint="eastAsia" w:ascii="仿宋" w:hAnsi="仿宋" w:eastAsia="仿宋"/>
          <w:sz w:val="32"/>
          <w:szCs w:val="32"/>
          <w:lang w:eastAsia="zh-CN"/>
        </w:rPr>
        <w:t>部门2024</w:t>
      </w:r>
      <w:r>
        <w:rPr>
          <w:rFonts w:hint="eastAsia" w:ascii="仿宋" w:hAnsi="仿宋" w:eastAsia="仿宋"/>
          <w:sz w:val="32"/>
          <w:szCs w:val="32"/>
        </w:rPr>
        <w:t>年</w:t>
      </w:r>
      <w:r>
        <w:rPr>
          <w:rFonts w:hint="eastAsia" w:ascii="仿宋" w:hAnsi="仿宋" w:eastAsia="仿宋"/>
          <w:sz w:val="32"/>
          <w:szCs w:val="32"/>
          <w:lang w:val="en-US" w:eastAsia="zh-CN"/>
        </w:rPr>
        <w:t>对2个项目，共计23.4万元设置了绩效目标。</w:t>
      </w:r>
      <w:r>
        <w:rPr>
          <w:rFonts w:hint="eastAsia" w:ascii="仿宋" w:hAnsi="仿宋" w:eastAsia="仿宋"/>
          <w:sz w:val="32"/>
          <w:szCs w:val="32"/>
        </w:rPr>
        <w:t>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widowControl/>
        <w:suppressLineNumbers w:val="0"/>
        <w:ind w:firstLine="622" w:firstLineChars="200"/>
        <w:jc w:val="left"/>
      </w:pPr>
      <w:r>
        <w:rPr>
          <w:rFonts w:hint="eastAsia" w:ascii="仿宋" w:hAnsi="仿宋" w:eastAsia="仿宋" w:cs="仿宋"/>
          <w:b/>
          <w:bCs/>
          <w:color w:val="000000"/>
          <w:kern w:val="0"/>
          <w:sz w:val="31"/>
          <w:szCs w:val="31"/>
          <w:lang w:val="en-US" w:eastAsia="zh-CN" w:bidi="ar"/>
        </w:rPr>
        <w:t>（四）</w:t>
      </w:r>
      <w:r>
        <w:rPr>
          <w:rFonts w:ascii="仿宋" w:hAnsi="仿宋" w:eastAsia="仿宋" w:cs="仿宋"/>
          <w:b/>
          <w:bCs/>
          <w:color w:val="000000"/>
          <w:kern w:val="0"/>
          <w:sz w:val="31"/>
          <w:szCs w:val="31"/>
          <w:lang w:val="en-US" w:eastAsia="zh-CN" w:bidi="ar"/>
        </w:rPr>
        <w:t xml:space="preserve">重点项目预算的绩效目标 </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我部门重点项目为农产品经纪人培训，预算批复7万元，主要用于组织全市各县区基层社和农民专业合作社相关负责人、全市脱贫村创业致富带头人参与农产品经纪人培训。预计2024年开展1一次培训，培训人数不低于90人，提高农民科学种田意识、促进生态农业发展，培训学员满意度不低于95%。</w:t>
      </w:r>
    </w:p>
    <w:p>
      <w:pPr>
        <w:spacing w:line="600" w:lineRule="exact"/>
        <w:ind w:firstLine="630" w:firstLineChars="196"/>
        <w:rPr>
          <w:rFonts w:ascii="仿宋" w:hAnsi="仿宋" w:eastAsia="仿宋"/>
          <w:b/>
          <w:sz w:val="32"/>
          <w:szCs w:val="32"/>
        </w:rPr>
      </w:pPr>
      <w:r>
        <w:rPr>
          <w:rFonts w:hint="eastAsia" w:ascii="仿宋" w:hAnsi="仿宋" w:eastAsia="仿宋"/>
          <w:b/>
          <w:sz w:val="32"/>
          <w:szCs w:val="32"/>
        </w:rPr>
        <w:t>（</w:t>
      </w:r>
      <w:r>
        <w:rPr>
          <w:rFonts w:hint="eastAsia" w:ascii="仿宋" w:hAnsi="仿宋" w:eastAsia="仿宋"/>
          <w:b/>
          <w:sz w:val="32"/>
          <w:szCs w:val="32"/>
          <w:lang w:val="en-US" w:eastAsia="zh-CN"/>
        </w:rPr>
        <w:t>五</w:t>
      </w:r>
      <w:r>
        <w:rPr>
          <w:rFonts w:hint="eastAsia" w:ascii="仿宋" w:hAnsi="仿宋" w:eastAsia="仿宋"/>
          <w:b/>
          <w:sz w:val="32"/>
          <w:szCs w:val="32"/>
        </w:rPr>
        <w:t>）国有资产占用情况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202</w:t>
      </w:r>
      <w:r>
        <w:rPr>
          <w:rFonts w:hint="eastAsia" w:ascii="仿宋" w:hAnsi="仿宋" w:eastAsia="仿宋"/>
          <w:sz w:val="32"/>
          <w:szCs w:val="32"/>
          <w:lang w:val="en-US" w:eastAsia="zh-CN"/>
        </w:rPr>
        <w:t>3</w:t>
      </w:r>
      <w:r>
        <w:rPr>
          <w:rFonts w:hint="eastAsia" w:ascii="仿宋" w:hAnsi="仿宋" w:eastAsia="仿宋"/>
          <w:sz w:val="32"/>
          <w:szCs w:val="32"/>
        </w:rPr>
        <w:t>年期末，我</w:t>
      </w:r>
      <w:r>
        <w:rPr>
          <w:rFonts w:hint="eastAsia" w:ascii="仿宋" w:hAnsi="仿宋" w:eastAsia="仿宋"/>
          <w:sz w:val="32"/>
          <w:szCs w:val="32"/>
          <w:lang w:eastAsia="zh-CN"/>
        </w:rPr>
        <w:t>部门</w:t>
      </w:r>
      <w:r>
        <w:rPr>
          <w:rFonts w:hint="eastAsia" w:ascii="仿宋" w:hAnsi="仿宋" w:eastAsia="仿宋"/>
          <w:sz w:val="32"/>
          <w:szCs w:val="32"/>
        </w:rPr>
        <w:t>共有车辆</w:t>
      </w:r>
      <w:r>
        <w:rPr>
          <w:rFonts w:hint="eastAsia" w:ascii="仿宋" w:hAnsi="仿宋" w:eastAsia="仿宋"/>
          <w:sz w:val="32"/>
          <w:szCs w:val="32"/>
          <w:lang w:val="en-US" w:eastAsia="zh-CN"/>
        </w:rPr>
        <w:t>1</w:t>
      </w:r>
      <w:r>
        <w:rPr>
          <w:rFonts w:hint="eastAsia" w:ascii="仿宋" w:hAnsi="仿宋" w:eastAsia="仿宋"/>
          <w:sz w:val="32"/>
          <w:szCs w:val="32"/>
        </w:rPr>
        <w:t>辆，其中：一般公务用车</w:t>
      </w:r>
      <w:r>
        <w:rPr>
          <w:rFonts w:hint="eastAsia" w:ascii="仿宋" w:hAnsi="仿宋" w:eastAsia="仿宋"/>
          <w:sz w:val="32"/>
          <w:szCs w:val="32"/>
          <w:lang w:val="en-US" w:eastAsia="zh-CN"/>
        </w:rPr>
        <w:t>1</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辆，其他用车主要是机要通信用车</w:t>
      </w:r>
      <w:r>
        <w:rPr>
          <w:rFonts w:hint="eastAsia" w:ascii="仿宋" w:hAnsi="仿宋" w:eastAsia="仿宋"/>
          <w:sz w:val="32"/>
          <w:szCs w:val="32"/>
          <w:lang w:val="en-US" w:eastAsia="zh-CN"/>
        </w:rPr>
        <w:t>0</w:t>
      </w:r>
      <w:r>
        <w:rPr>
          <w:rFonts w:hint="eastAsia" w:ascii="仿宋" w:hAnsi="仿宋" w:eastAsia="仿宋"/>
          <w:sz w:val="32"/>
          <w:szCs w:val="32"/>
        </w:rPr>
        <w:t>辆、应急车辆</w:t>
      </w:r>
      <w:r>
        <w:rPr>
          <w:rFonts w:hint="eastAsia" w:ascii="仿宋" w:hAnsi="仿宋" w:eastAsia="仿宋"/>
          <w:sz w:val="32"/>
          <w:szCs w:val="32"/>
          <w:lang w:val="en-US" w:eastAsia="zh-CN"/>
        </w:rPr>
        <w:t>0</w:t>
      </w:r>
      <w:r>
        <w:rPr>
          <w:rFonts w:hint="eastAsia" w:ascii="仿宋" w:hAnsi="仿宋" w:eastAsia="仿宋"/>
          <w:sz w:val="32"/>
          <w:szCs w:val="32"/>
        </w:rPr>
        <w:t>辆、老干部用车</w:t>
      </w:r>
      <w:r>
        <w:rPr>
          <w:rFonts w:hint="eastAsia" w:ascii="仿宋" w:hAnsi="仿宋" w:eastAsia="仿宋"/>
          <w:sz w:val="32"/>
          <w:szCs w:val="32"/>
          <w:lang w:val="en-US" w:eastAsia="zh-CN"/>
        </w:rPr>
        <w:t>0</w:t>
      </w:r>
      <w:r>
        <w:rPr>
          <w:rFonts w:hint="eastAsia" w:ascii="仿宋" w:hAnsi="仿宋" w:eastAsia="仿宋"/>
          <w:sz w:val="32"/>
          <w:szCs w:val="32"/>
        </w:rPr>
        <w:t>辆；单价</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套，单位价值</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套。</w:t>
      </w:r>
    </w:p>
    <w:p>
      <w:pPr>
        <w:spacing w:line="600" w:lineRule="exact"/>
        <w:rPr>
          <w:rFonts w:ascii="仿宋" w:hAnsi="仿宋" w:eastAsia="仿宋"/>
          <w:sz w:val="32"/>
          <w:szCs w:val="32"/>
        </w:rPr>
      </w:pPr>
    </w:p>
    <w:p>
      <w:pPr>
        <w:spacing w:line="600" w:lineRule="exact"/>
        <w:rPr>
          <w:rFonts w:ascii="仿宋" w:hAnsi="仿宋" w:eastAsia="仿宋"/>
          <w:sz w:val="32"/>
          <w:szCs w:val="32"/>
        </w:rPr>
      </w:pPr>
    </w:p>
    <w:p>
      <w:pPr>
        <w:spacing w:line="600" w:lineRule="exact"/>
        <w:rPr>
          <w:rFonts w:ascii="仿宋" w:hAnsi="仿宋" w:eastAsia="仿宋"/>
          <w:sz w:val="32"/>
          <w:szCs w:val="32"/>
        </w:rPr>
      </w:pPr>
    </w:p>
    <w:p>
      <w:pPr>
        <w:spacing w:line="600" w:lineRule="exact"/>
        <w:rPr>
          <w:rFonts w:ascii="仿宋" w:hAnsi="仿宋" w:eastAsia="仿宋"/>
          <w:sz w:val="32"/>
          <w:szCs w:val="32"/>
        </w:rPr>
      </w:pPr>
      <w:bookmarkStart w:id="0" w:name="_GoBack"/>
      <w:bookmarkEnd w:id="0"/>
    </w:p>
    <w:p>
      <w:pPr>
        <w:spacing w:line="600" w:lineRule="exact"/>
        <w:jc w:val="both"/>
        <w:rPr>
          <w:rFonts w:ascii="黑体" w:hAnsi="黑体" w:eastAsia="黑体"/>
          <w:sz w:val="36"/>
          <w:szCs w:val="36"/>
        </w:rPr>
      </w:pPr>
    </w:p>
    <w:p>
      <w:pPr>
        <w:spacing w:line="600" w:lineRule="exact"/>
        <w:jc w:val="center"/>
        <w:rPr>
          <w:rFonts w:ascii="黑体" w:hAnsi="黑体" w:eastAsia="黑体"/>
          <w:sz w:val="36"/>
          <w:szCs w:val="36"/>
        </w:rPr>
      </w:pPr>
      <w:r>
        <w:rPr>
          <w:rFonts w:hint="eastAsia" w:ascii="黑体" w:hAnsi="黑体" w:eastAsia="黑体"/>
          <w:sz w:val="36"/>
          <w:szCs w:val="36"/>
        </w:rPr>
        <w:t>第三部分</w:t>
      </w:r>
    </w:p>
    <w:p>
      <w:pPr>
        <w:spacing w:line="600" w:lineRule="exact"/>
        <w:jc w:val="center"/>
        <w:rPr>
          <w:rFonts w:ascii="黑体" w:hAnsi="黑体" w:eastAsia="黑体"/>
          <w:sz w:val="36"/>
          <w:szCs w:val="36"/>
        </w:rPr>
      </w:pPr>
      <w:r>
        <w:rPr>
          <w:rFonts w:hint="eastAsia" w:ascii="黑体" w:hAnsi="黑体" w:eastAsia="黑体"/>
          <w:sz w:val="36"/>
          <w:szCs w:val="36"/>
        </w:rPr>
        <w:t>名词解释</w:t>
      </w:r>
    </w:p>
    <w:p>
      <w:pPr>
        <w:spacing w:line="600" w:lineRule="exact"/>
        <w:jc w:val="center"/>
        <w:rPr>
          <w:rFonts w:ascii="黑体" w:hAnsi="黑体" w:eastAsia="黑体"/>
          <w:sz w:val="36"/>
          <w:szCs w:val="36"/>
        </w:rPr>
      </w:pP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一、财政拨款收入:是指省级财政当年拨付的资金;包括一般公共预算拨款、政府性基金预算拨款、国有资本经营预算拨款。</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二、财政专户管理资金:是指缴入财政专户、实行专项管理的高中以上学费、住宿费、高校委托培养费、函大、电大、夜大及短训班培训费等教育收费</w:t>
      </w:r>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三、事业收入:是指事业单位开展专业活动及辅助活动所取得的收入，不包括教育收费。</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四、事业单位经营收入:是指事业单位在专业业务活动及其辅助活动之外开展非独立核算经营活动取得的收入</w:t>
      </w:r>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五、其他收入:是指部门取得的除“财政拨款”、“事业收入”、“事业单位经营收入”等以外的收入。</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六、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七、基本支出:是指为保障机构正常运转、完成日常工作任务所必需的开支，其内容包括人员经费和日常公用经费两部分。</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八、项目支出:是指在基本支出之外，为完成特定的行政工作任务或事业发展目标所发生的支出</w:t>
      </w:r>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九、“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十、行政(事业)单位机构运转经费情况: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600" w:lineRule="exact"/>
        <w:rPr>
          <w:rFonts w:ascii="仿宋" w:hAnsi="仿宋" w:eastAsia="仿宋" w:cs="Times New Roman"/>
          <w:sz w:val="32"/>
          <w:szCs w:val="32"/>
        </w:rPr>
      </w:pPr>
    </w:p>
    <w:p>
      <w:pPr>
        <w:adjustRightInd w:val="0"/>
        <w:snapToGrid w:val="0"/>
        <w:spacing w:line="600" w:lineRule="exact"/>
        <w:rPr>
          <w:rFonts w:ascii="黑体" w:hAnsi="黑体" w:eastAsia="黑体" w:cs="Times New Roman"/>
          <w:sz w:val="32"/>
          <w:szCs w:val="32"/>
        </w:rPr>
      </w:pPr>
      <w:r>
        <w:rPr>
          <w:rFonts w:hint="eastAsia" w:ascii="黑体" w:hAnsi="黑体" w:eastAsia="黑体" w:cs="黑体"/>
          <w:sz w:val="32"/>
          <w:szCs w:val="32"/>
        </w:rPr>
        <w:t>附件：</w:t>
      </w:r>
    </w:p>
    <w:p>
      <w:pPr>
        <w:adjustRightInd w:val="0"/>
        <w:snapToGrid w:val="0"/>
        <w:spacing w:line="600" w:lineRule="exact"/>
        <w:jc w:val="center"/>
        <w:rPr>
          <w:rFonts w:ascii="黑体" w:hAnsi="黑体" w:eastAsia="黑体" w:cs="Times New Roman"/>
          <w:sz w:val="32"/>
          <w:szCs w:val="32"/>
        </w:rPr>
      </w:pPr>
      <w:r>
        <w:rPr>
          <w:rFonts w:hint="eastAsia" w:ascii="黑体" w:hAnsi="黑体" w:eastAsia="黑体" w:cs="黑体"/>
          <w:sz w:val="32"/>
          <w:szCs w:val="32"/>
          <w:lang w:val="en-US" w:eastAsia="zh-CN"/>
        </w:rPr>
        <w:t>驻马店市供销合作社</w:t>
      </w:r>
      <w:r>
        <w:rPr>
          <w:rFonts w:hint="eastAsia" w:ascii="黑体" w:hAnsi="黑体" w:eastAsia="黑体" w:cs="黑体"/>
          <w:sz w:val="32"/>
          <w:szCs w:val="32"/>
          <w:lang w:eastAsia="zh-CN"/>
        </w:rPr>
        <w:t>2024</w:t>
      </w:r>
      <w:r>
        <w:rPr>
          <w:rFonts w:hint="eastAsia" w:ascii="黑体" w:hAnsi="黑体" w:eastAsia="黑体" w:cs="黑体"/>
          <w:sz w:val="32"/>
          <w:szCs w:val="32"/>
        </w:rPr>
        <w:t>年度部门预算表</w:t>
      </w:r>
    </w:p>
    <w:p>
      <w:pPr>
        <w:spacing w:line="600" w:lineRule="exact"/>
      </w:pP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45DE93"/>
    <w:multiLevelType w:val="singleLevel"/>
    <w:tmpl w:val="AA45DE9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lNTI4M2NiZmNlN2JhZDNhYmUwNGEwZjU1NzQwMmUifQ=="/>
  </w:docVars>
  <w:rsids>
    <w:rsidRoot w:val="00DB6E0A"/>
    <w:rsid w:val="00024F6B"/>
    <w:rsid w:val="00046304"/>
    <w:rsid w:val="00081A39"/>
    <w:rsid w:val="00082E97"/>
    <w:rsid w:val="00092293"/>
    <w:rsid w:val="000A57D3"/>
    <w:rsid w:val="000A793C"/>
    <w:rsid w:val="000B2C71"/>
    <w:rsid w:val="000D2EF0"/>
    <w:rsid w:val="000E1E98"/>
    <w:rsid w:val="000F00F0"/>
    <w:rsid w:val="000F07CF"/>
    <w:rsid w:val="00103B01"/>
    <w:rsid w:val="00130D39"/>
    <w:rsid w:val="00132510"/>
    <w:rsid w:val="00135319"/>
    <w:rsid w:val="00157DC9"/>
    <w:rsid w:val="00164490"/>
    <w:rsid w:val="0016485B"/>
    <w:rsid w:val="00174BB7"/>
    <w:rsid w:val="00197F39"/>
    <w:rsid w:val="001D3474"/>
    <w:rsid w:val="001F0097"/>
    <w:rsid w:val="001F0DC7"/>
    <w:rsid w:val="001F3EA8"/>
    <w:rsid w:val="00267A52"/>
    <w:rsid w:val="00277F07"/>
    <w:rsid w:val="00281F39"/>
    <w:rsid w:val="00282C62"/>
    <w:rsid w:val="002A5C59"/>
    <w:rsid w:val="002C63F2"/>
    <w:rsid w:val="00313C25"/>
    <w:rsid w:val="00321C62"/>
    <w:rsid w:val="00322205"/>
    <w:rsid w:val="00357CD3"/>
    <w:rsid w:val="0036405E"/>
    <w:rsid w:val="00380842"/>
    <w:rsid w:val="00394026"/>
    <w:rsid w:val="003B307C"/>
    <w:rsid w:val="003D2251"/>
    <w:rsid w:val="003D4DA1"/>
    <w:rsid w:val="003F281A"/>
    <w:rsid w:val="003F6FA5"/>
    <w:rsid w:val="00402A63"/>
    <w:rsid w:val="004059A2"/>
    <w:rsid w:val="00413874"/>
    <w:rsid w:val="0041494C"/>
    <w:rsid w:val="00425830"/>
    <w:rsid w:val="004402A9"/>
    <w:rsid w:val="00440E08"/>
    <w:rsid w:val="0044221E"/>
    <w:rsid w:val="00445854"/>
    <w:rsid w:val="004523F4"/>
    <w:rsid w:val="00475A3F"/>
    <w:rsid w:val="00485E69"/>
    <w:rsid w:val="00486CF5"/>
    <w:rsid w:val="00495029"/>
    <w:rsid w:val="004B1C7F"/>
    <w:rsid w:val="004B2AB1"/>
    <w:rsid w:val="004B5AC1"/>
    <w:rsid w:val="004D3E72"/>
    <w:rsid w:val="00517F70"/>
    <w:rsid w:val="00520079"/>
    <w:rsid w:val="00520C68"/>
    <w:rsid w:val="005458CE"/>
    <w:rsid w:val="00547FA8"/>
    <w:rsid w:val="005653F6"/>
    <w:rsid w:val="00574E19"/>
    <w:rsid w:val="00593ACE"/>
    <w:rsid w:val="00594B0A"/>
    <w:rsid w:val="005A7D02"/>
    <w:rsid w:val="005C73B8"/>
    <w:rsid w:val="00624C7A"/>
    <w:rsid w:val="00655743"/>
    <w:rsid w:val="00660C03"/>
    <w:rsid w:val="00676BA6"/>
    <w:rsid w:val="00691D56"/>
    <w:rsid w:val="00697E78"/>
    <w:rsid w:val="006A220B"/>
    <w:rsid w:val="006B3606"/>
    <w:rsid w:val="006B3FE3"/>
    <w:rsid w:val="00700239"/>
    <w:rsid w:val="00700B9A"/>
    <w:rsid w:val="007136D4"/>
    <w:rsid w:val="00737C3B"/>
    <w:rsid w:val="00755247"/>
    <w:rsid w:val="0076118A"/>
    <w:rsid w:val="00791B9D"/>
    <w:rsid w:val="007922C8"/>
    <w:rsid w:val="007A040A"/>
    <w:rsid w:val="007B4386"/>
    <w:rsid w:val="007D4A49"/>
    <w:rsid w:val="007D7A4A"/>
    <w:rsid w:val="007E0369"/>
    <w:rsid w:val="007E6EE0"/>
    <w:rsid w:val="00804982"/>
    <w:rsid w:val="0086203B"/>
    <w:rsid w:val="0087679C"/>
    <w:rsid w:val="008803FE"/>
    <w:rsid w:val="00882505"/>
    <w:rsid w:val="008A14DB"/>
    <w:rsid w:val="008A2A42"/>
    <w:rsid w:val="008B58F3"/>
    <w:rsid w:val="008B63CD"/>
    <w:rsid w:val="008C6D08"/>
    <w:rsid w:val="008D1B9C"/>
    <w:rsid w:val="008D5A65"/>
    <w:rsid w:val="008F0447"/>
    <w:rsid w:val="008F3BA6"/>
    <w:rsid w:val="00912829"/>
    <w:rsid w:val="00914D64"/>
    <w:rsid w:val="00926A33"/>
    <w:rsid w:val="009507BF"/>
    <w:rsid w:val="009574C3"/>
    <w:rsid w:val="00965F4F"/>
    <w:rsid w:val="00987F87"/>
    <w:rsid w:val="0099182F"/>
    <w:rsid w:val="009B17AE"/>
    <w:rsid w:val="009B1DCD"/>
    <w:rsid w:val="00A0087B"/>
    <w:rsid w:val="00A0547F"/>
    <w:rsid w:val="00A111CB"/>
    <w:rsid w:val="00A51477"/>
    <w:rsid w:val="00A6587F"/>
    <w:rsid w:val="00A75D9C"/>
    <w:rsid w:val="00A83E1B"/>
    <w:rsid w:val="00AA09FD"/>
    <w:rsid w:val="00AB26EC"/>
    <w:rsid w:val="00AE18EF"/>
    <w:rsid w:val="00B02CDE"/>
    <w:rsid w:val="00B16384"/>
    <w:rsid w:val="00B32090"/>
    <w:rsid w:val="00B35C03"/>
    <w:rsid w:val="00B60387"/>
    <w:rsid w:val="00B62A35"/>
    <w:rsid w:val="00B71283"/>
    <w:rsid w:val="00B8118B"/>
    <w:rsid w:val="00BB32E4"/>
    <w:rsid w:val="00BB5328"/>
    <w:rsid w:val="00BC25A8"/>
    <w:rsid w:val="00BC482D"/>
    <w:rsid w:val="00BF3E2E"/>
    <w:rsid w:val="00C05FD2"/>
    <w:rsid w:val="00C1216D"/>
    <w:rsid w:val="00C16BCC"/>
    <w:rsid w:val="00C24430"/>
    <w:rsid w:val="00C32353"/>
    <w:rsid w:val="00C324EE"/>
    <w:rsid w:val="00C46EC8"/>
    <w:rsid w:val="00C547E8"/>
    <w:rsid w:val="00C555BA"/>
    <w:rsid w:val="00C822B5"/>
    <w:rsid w:val="00C84D92"/>
    <w:rsid w:val="00C961DC"/>
    <w:rsid w:val="00C97DB5"/>
    <w:rsid w:val="00CB5205"/>
    <w:rsid w:val="00CC09A9"/>
    <w:rsid w:val="00CF06D4"/>
    <w:rsid w:val="00D06F40"/>
    <w:rsid w:val="00D1533C"/>
    <w:rsid w:val="00D1724E"/>
    <w:rsid w:val="00D263AD"/>
    <w:rsid w:val="00D32AF5"/>
    <w:rsid w:val="00D43271"/>
    <w:rsid w:val="00D66752"/>
    <w:rsid w:val="00DB6E0A"/>
    <w:rsid w:val="00DC2B51"/>
    <w:rsid w:val="00DD2FFD"/>
    <w:rsid w:val="00DD6237"/>
    <w:rsid w:val="00DD6651"/>
    <w:rsid w:val="00E16978"/>
    <w:rsid w:val="00E247EF"/>
    <w:rsid w:val="00E42482"/>
    <w:rsid w:val="00E42FC7"/>
    <w:rsid w:val="00E504A7"/>
    <w:rsid w:val="00E66C96"/>
    <w:rsid w:val="00E90CF6"/>
    <w:rsid w:val="00E95E4C"/>
    <w:rsid w:val="00E962BF"/>
    <w:rsid w:val="00EB1647"/>
    <w:rsid w:val="00ED0313"/>
    <w:rsid w:val="00EF00AC"/>
    <w:rsid w:val="00EF0A3A"/>
    <w:rsid w:val="00F26566"/>
    <w:rsid w:val="00F31989"/>
    <w:rsid w:val="00F3215C"/>
    <w:rsid w:val="00F32AF3"/>
    <w:rsid w:val="00F33AA2"/>
    <w:rsid w:val="00F372DE"/>
    <w:rsid w:val="00F43772"/>
    <w:rsid w:val="00F47160"/>
    <w:rsid w:val="00F471FF"/>
    <w:rsid w:val="00F71085"/>
    <w:rsid w:val="00F82CBC"/>
    <w:rsid w:val="00F846C0"/>
    <w:rsid w:val="00F87D66"/>
    <w:rsid w:val="00FA0F9B"/>
    <w:rsid w:val="00FA6BF0"/>
    <w:rsid w:val="00FB172E"/>
    <w:rsid w:val="00FB5612"/>
    <w:rsid w:val="00FC0622"/>
    <w:rsid w:val="00FC6DFC"/>
    <w:rsid w:val="00FD4CB7"/>
    <w:rsid w:val="0CB32593"/>
    <w:rsid w:val="0DB77A48"/>
    <w:rsid w:val="10F7009F"/>
    <w:rsid w:val="130410AB"/>
    <w:rsid w:val="13695147"/>
    <w:rsid w:val="1488753C"/>
    <w:rsid w:val="189866C8"/>
    <w:rsid w:val="1D132BD3"/>
    <w:rsid w:val="1EFB577C"/>
    <w:rsid w:val="274D3EF6"/>
    <w:rsid w:val="2E2709E9"/>
    <w:rsid w:val="2E543E17"/>
    <w:rsid w:val="2EDE2FA6"/>
    <w:rsid w:val="2FB90B2B"/>
    <w:rsid w:val="34787E99"/>
    <w:rsid w:val="357E6C6C"/>
    <w:rsid w:val="3C03026C"/>
    <w:rsid w:val="3F3408A1"/>
    <w:rsid w:val="41FF5B4D"/>
    <w:rsid w:val="46DF533E"/>
    <w:rsid w:val="46FF15CE"/>
    <w:rsid w:val="49282C1C"/>
    <w:rsid w:val="51F22887"/>
    <w:rsid w:val="5E0C4CE7"/>
    <w:rsid w:val="602045A6"/>
    <w:rsid w:val="63835B20"/>
    <w:rsid w:val="684A26C4"/>
    <w:rsid w:val="6EE120A0"/>
    <w:rsid w:val="72473C14"/>
    <w:rsid w:val="73041B0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99"/>
    <w:rPr>
      <w:b/>
      <w:bCs/>
    </w:rPr>
  </w:style>
  <w:style w:type="paragraph" w:styleId="9">
    <w:name w:val="List Paragraph"/>
    <w:basedOn w:val="1"/>
    <w:autoRedefine/>
    <w:qFormat/>
    <w:uiPriority w:val="99"/>
    <w:pPr>
      <w:ind w:firstLine="420" w:firstLineChars="200"/>
    </w:pPr>
  </w:style>
  <w:style w:type="character" w:customStyle="1" w:styleId="10">
    <w:name w:val="批注框文本 Char"/>
    <w:basedOn w:val="7"/>
    <w:link w:val="2"/>
    <w:autoRedefine/>
    <w:semiHidden/>
    <w:qFormat/>
    <w:locked/>
    <w:uiPriority w:val="99"/>
    <w:rPr>
      <w:sz w:val="2"/>
      <w:szCs w:val="2"/>
    </w:rPr>
  </w:style>
  <w:style w:type="character" w:customStyle="1" w:styleId="11">
    <w:name w:val="页眉 Char"/>
    <w:basedOn w:val="7"/>
    <w:link w:val="4"/>
    <w:autoRedefine/>
    <w:semiHidden/>
    <w:qFormat/>
    <w:uiPriority w:val="99"/>
    <w:rPr>
      <w:rFonts w:cs="Calibri"/>
      <w:sz w:val="18"/>
      <w:szCs w:val="18"/>
    </w:rPr>
  </w:style>
  <w:style w:type="character" w:customStyle="1" w:styleId="12">
    <w:name w:val="页脚 Char"/>
    <w:basedOn w:val="7"/>
    <w:link w:val="3"/>
    <w:autoRedefine/>
    <w:semiHidden/>
    <w:qFormat/>
    <w:uiPriority w:val="99"/>
    <w:rPr>
      <w:rFonts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5187</Words>
  <Characters>5408</Characters>
  <Lines>41</Lines>
  <Paragraphs>11</Paragraphs>
  <TotalTime>5</TotalTime>
  <ScaleCrop>false</ScaleCrop>
  <LinksUpToDate>false</LinksUpToDate>
  <CharactersWithSpaces>5426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2017-11-03T04:07:00Z</dcterms:created>
  <dc:creator>6102</dc:creator>
  <cp:lastModifiedBy>大饼饼饼饼</cp:lastModifiedBy>
  <cp:lastPrinted>2018-03-22T04:03:00Z</cp:lastPrinted>
  <dcterms:modified xsi:type="dcterms:W3CDTF">2024-03-22T01:08:26Z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56BE3BB4D682412A88BAFB84481499FA_13</vt:lpwstr>
  </property>
</Properties>
</file>